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CoverOrg"/>
      </w:pPr>
      <w:r>
        <w:rPr>
          <w:rFonts w:ascii="Calibri" w:hAnsi="Calibri"/>
        </w:rPr>
        <w:t xml:space="preserve">FANALIO DEVOIR COMPLICE</w:t>
      </w:r>
    </w:p>
    <w:p>
      <w:pPr>
        <w:pStyle w:val="CoverTitle"/>
      </w:pPr>
      <w:r>
        <w:rPr>
          <w:rFonts w:ascii="Calibri" w:hAnsi="Calibri"/>
        </w:rPr>
        <w:t xml:space="preserve">Protocole expérimental</w:t>
      </w:r>
    </w:p>
    <w:p>
      <w:pPr>
        <w:pStyle w:val="CoverTagline"/>
      </w:pPr>
      <w:r>
        <w:rPr>
          <w:rFonts w:ascii="Calibri" w:hAnsi="Calibri"/>
        </w:rPr>
        <w:t xml:space="preserve">« Étayer les devoirs sans les faire »</w:t>
      </w:r>
    </w:p>
    <w:p>
      <w:pPr>
        <w:pStyle w:val="CoverSubtitle"/>
      </w:pPr>
      <w:r>
        <w:rPr>
          <w:rFonts w:ascii="Calibri" w:hAnsi="Calibri"/>
        </w:rPr>
        <w:t xml:space="preserve">Mesurer les apprentissages sans outil et la diminution progressive de l'aide</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4680"/>
        <w:gridCol w:w="4680"/>
      </w:tblGrid>
      <w:tr>
        <w:trPr>
          <w:tblHeader/>
        </w:trPr>
        <w:tc>
          <w:tcPr>
            <w:tcW w:w="4680" w:type="dxa"/>
            <w:shd w:val="clear" w:color="auto" w:fill="F4F6F9"/>
            <w:vAlign w:val="center"/>
          </w:tcPr>
          <w:p>
            <w:pPr>
              <w:pStyle w:val="TableText"/>
            </w:pPr>
            <w:r>
              <w:rPr>
                <w:rFonts w:ascii="Calibri" w:hAnsi="Calibri"/>
                <w:b/>
              </w:rPr>
              <w:t xml:space="preserve">Projet</w:t>
            </w:r>
          </w:p>
        </w:tc>
        <w:tc>
          <w:tcPr>
            <w:tcW w:w="4680" w:type="dxa"/>
            <w:shd w:val="clear" w:color="auto" w:fill="F4F6F9"/>
            <w:vAlign w:val="center"/>
          </w:tcPr>
          <w:p>
            <w:pPr>
              <w:pStyle w:val="TableText"/>
            </w:pPr>
            <w:r>
              <w:rPr>
                <w:rFonts w:ascii="Calibri" w:hAnsi="Calibri"/>
                <w:b/>
              </w:rPr>
              <w:t xml:space="preserve">Cadre</w:t>
            </w:r>
          </w:p>
        </w:tc>
      </w:tr>
      <w:tr>
        <w:tc>
          <w:tcPr>
            <w:tcW w:w="4680" w:type="dxa"/>
            <w:vAlign w:val="center"/>
          </w:tcPr>
          <w:p>
            <w:pPr>
              <w:pStyle w:val="TableText"/>
            </w:pPr>
            <w:r>
              <w:rPr>
                <w:rFonts w:ascii="Calibri" w:hAnsi="Calibri"/>
              </w:rPr>
              <w:t xml:space="preserve">Établissement porteur</w:t>
            </w:r>
            <w:r>
              <w:br/>
            </w:r>
            <w:r>
              <w:rPr>
                <w:rFonts w:ascii="Calibri" w:hAnsi="Calibri"/>
              </w:rPr>
              <w:t xml:space="preserve">Lycée polyvalent Gaspard Monge, Savigny-sur-Orge</w:t>
            </w:r>
          </w:p>
        </w:tc>
        <w:tc>
          <w:tcPr>
            <w:tcW w:w="4680" w:type="dxa"/>
            <w:vAlign w:val="center"/>
          </w:tcPr>
          <w:p>
            <w:pPr>
              <w:pStyle w:val="TableText"/>
            </w:pPr>
            <w:r>
              <w:rPr>
                <w:rFonts w:ascii="Calibri" w:hAnsi="Calibri"/>
              </w:rPr>
              <w:t xml:space="preserve">Année scolaire</w:t>
            </w:r>
            <w:r>
              <w:br/>
            </w:r>
            <w:r>
              <w:rPr>
                <w:rFonts w:ascii="Calibri" w:hAnsi="Calibri"/>
              </w:rPr>
              <w:t xml:space="preserve">2026-2027</w:t>
            </w:r>
          </w:p>
        </w:tc>
      </w:tr>
      <w:tr>
        <w:tc>
          <w:tcPr>
            <w:tcW w:w="4680" w:type="dxa"/>
            <w:vAlign w:val="center"/>
          </w:tcPr>
          <w:p>
            <w:pPr>
              <w:pStyle w:val="TableText"/>
            </w:pPr>
            <w:r>
              <w:rPr>
                <w:rFonts w:ascii="Calibri" w:hAnsi="Calibri"/>
              </w:rPr>
              <w:t xml:space="preserve">Porteur</w:t>
            </w:r>
            <w:r>
              <w:br/>
            </w:r>
            <w:r>
              <w:rPr>
                <w:rFonts w:ascii="Calibri" w:hAnsi="Calibri"/>
              </w:rPr>
              <w:t xml:space="preserve">Roger Loaiza Soto, professeur d'Économie-Gestion et doctorant CHArt (UPEC)</w:t>
            </w:r>
          </w:p>
        </w:tc>
        <w:tc>
          <w:tcPr>
            <w:tcW w:w="4680" w:type="dxa"/>
            <w:vAlign w:val="center"/>
          </w:tcPr>
          <w:p>
            <w:pPr>
              <w:pStyle w:val="TableText"/>
            </w:pPr>
            <w:r>
              <w:rPr>
                <w:rFonts w:ascii="Calibri" w:hAnsi="Calibri"/>
              </w:rPr>
              <w:t xml:space="preserve">Adossement scientifique</w:t>
            </w:r>
            <w:r>
              <w:br/>
            </w:r>
            <w:r>
              <w:rPr>
                <w:rFonts w:ascii="Calibri" w:hAnsi="Calibri"/>
              </w:rPr>
              <w:t xml:space="preserve">Laboratoire CHArt, sous réserve de validation institutionnelle</w:t>
            </w:r>
          </w:p>
        </w:tc>
      </w:tr>
      <w:tr>
        <w:tc>
          <w:tcPr>
            <w:tcW w:w="4680" w:type="dxa"/>
            <w:vAlign w:val="center"/>
          </w:tcPr>
          <w:p>
            <w:pPr>
              <w:pStyle w:val="TableText"/>
            </w:pPr>
            <w:r>
              <w:rPr>
                <w:rFonts w:ascii="Calibri" w:hAnsi="Calibri"/>
              </w:rPr>
              <w:t xml:space="preserve">Cible de valorisation</w:t>
            </w:r>
            <w:r>
              <w:br/>
            </w:r>
            <w:r>
              <w:rPr>
                <w:rFonts w:ascii="Calibri" w:hAnsi="Calibri"/>
              </w:rPr>
              <w:t xml:space="preserve">Prix Chercheurs en Actes, 8e édition</w:t>
            </w:r>
          </w:p>
        </w:tc>
        <w:tc>
          <w:tcPr>
            <w:tcW w:w="4680" w:type="dxa"/>
            <w:vAlign w:val="center"/>
          </w:tcPr>
          <w:p>
            <w:pPr>
              <w:pStyle w:val="TableText"/>
            </w:pPr>
            <w:r>
              <w:rPr>
                <w:rFonts w:ascii="Calibri" w:hAnsi="Calibri"/>
              </w:rPr>
              <w:t xml:space="preserve">Version</w:t>
            </w:r>
            <w:r>
              <w:br/>
            </w:r>
            <w:r>
              <w:rPr>
                <w:rFonts w:ascii="Calibri" w:hAnsi="Calibri"/>
              </w:rPr>
              <w:t xml:space="preserve">2.1 - 13 septembre 2026</w:t>
            </w:r>
          </w:p>
        </w:tc>
      </w:tr>
    </w:tbl>
    <w:p>
      <w:pPr>
        <w:spacing w:after="80"/>
      </w:pPr>
    </w:p>
    <w:p>
      <w:pPr>
        <w:pStyle w:val="Callout"/>
      </w:pPr>
      <w:r>
        <w:rPr>
          <w:rFonts w:ascii="Calibri" w:hAnsi="Calibri"/>
          <w:b/>
        </w:rPr>
        <w:t xml:space="preserve">Statut : </w:t>
      </w:r>
      <w:r>
        <w:rPr>
          <w:rFonts w:ascii="Calibri" w:hAnsi="Calibri"/>
        </w:rPr>
        <w:t xml:space="preserve">document de travail destiné à la validation scientifique, institutionnelle, éthique et juridique avant toute collecte de données.</w:t>
      </w:r>
    </w:p>
    <w:p>
      <w:pPr>
        <w:pStyle w:val="Centered"/>
      </w:pPr>
      <w:r>
        <w:rPr>
          <w:rFonts w:ascii="Calibri" w:hAnsi="Calibri"/>
        </w:rPr>
        <w:t xml:space="preserve">Ce protocole remplace la logique de croisement symétrique par un démarrage différé. La comparaison causale principale est réalisée avant que le groupe témoin accède à l'outil. La seconde période étudie la réplication de l'effet et la persistance éventuelle des acquis.</w:t>
      </w:r>
    </w:p>
    <w:p>
      <w:r>
        <w:br w:type="page"/>
      </w:r>
    </w:p>
    <w:p>
      <w:pPr>
        <w:pStyle w:val="Heading1"/>
      </w:pPr>
      <w:r>
        <w:rPr>
          <w:rFonts w:ascii="Calibri" w:hAnsi="Calibri"/>
        </w:rPr>
        <w:t xml:space="preserve">Résumé exécutif</w:t>
      </w:r>
    </w:p>
    <w:p>
      <w:pPr>
        <w:pStyle w:val="Normal"/>
      </w:pPr>
      <w:r>
        <w:rPr>
          <w:rFonts w:ascii="Calibri" w:hAnsi="Calibri"/>
        </w:rPr>
        <w:t xml:space="preserve">Devoir Complice est un environnement numérique destiné au temps des devoirs. L'élève y rédige sa production et peut dialoguer avec un assistant pédagogique. Cet assistant doit soutenir la compréhension, proposer des questions ou des indices gradués et refuser de produire la réponse finale à la place de l'élève. L'enseignant conserve la responsabilité des consignes, de l'évaluation et des décisions pédagogiques.</w:t>
      </w:r>
    </w:p>
    <w:p>
      <w:pPr>
        <w:pStyle w:val="Normal"/>
      </w:pPr>
      <w:r>
        <w:rPr>
          <w:rFonts w:ascii="Calibri" w:hAnsi="Calibri"/>
        </w:rPr>
        <w:t xml:space="preserve">L'étude cherche à déterminer si cet accompagnement produit un apprentissage transférable. Son critère principal n'est donc pas la qualité apparente du devoir réalisé avec l'outil, mais le résultat obtenu ensuite lors d'une courte évaluation en classe, sans assistant d'intelligence artificielle et avec les aménagements scolaires habituels.</w:t>
      </w:r>
    </w:p>
    <w:p>
      <w:pPr>
        <w:pStyle w:val="Callout"/>
      </w:pPr>
      <w:r>
        <w:rPr>
          <w:rFonts w:ascii="Calibri" w:hAnsi="Calibri"/>
          <w:b/>
        </w:rPr>
        <w:t xml:space="preserve">Question principale : </w:t>
      </w:r>
      <w:r>
        <w:rPr>
          <w:rFonts w:ascii="Calibri" w:hAnsi="Calibri"/>
        </w:rPr>
        <w:t xml:space="preserve">un devoir réalisé avec Devoir Complice améliore-t-il la réussite à une évaluation ultérieure sans assistant, par rapport au devoir habituel, à contenu, délai, enseignement et barème identiques ?</w:t>
      </w:r>
    </w:p>
    <w:p>
      <w:pPr>
        <w:pStyle w:val="Normal"/>
      </w:pPr>
      <w:r>
        <w:rPr>
          <w:rFonts w:ascii="Calibri" w:hAnsi="Calibri"/>
        </w:rPr>
        <w:t xml:space="preserve">Le protocole adopte un essai randomisé intra-classe à démarrage différé. Pendant la période 1, une moitié des élèves utilise Devoir Complice et l'autre suit la modalité habituelle. Cette période porte l'analyse principale. Pendant la période 2, les groupes changent de modalité afin que tous les élèves puissent accéder à l'outil. Cette seconde période sert à rechercher une réplication dans le groupe initialement témoin et à étudier la persistance des acquis chez le groupe initialement équipé. Elle n'est pas interprétée comme un croisement symétrique, car les apprentissages de la première période peuvent persister.</w:t>
      </w:r>
    </w:p>
    <w:p>
      <w:pPr>
        <w:pStyle w:val="Normal"/>
      </w:pPr>
      <w:r>
        <w:rPr>
          <w:rFonts w:ascii="Calibri" w:hAnsi="Calibri"/>
        </w:rPr>
        <w:t xml:space="preserve">Le désétayage est défini comme une diminution de l'aide effectivement nécessaire pour réussir, et non comme une simple baisse automatique du niveau fourni par le logiciel. Sa mesure associe les traces de l'assistant, la réussite aux items et les évaluations indépendantes sans outil.</w:t>
      </w:r>
    </w:p>
    <w:p>
      <w:pPr>
        <w:pStyle w:val="Normal"/>
      </w:pPr>
      <w:r>
        <w:rPr>
          <w:rFonts w:ascii="Calibri" w:hAnsi="Calibri"/>
        </w:rPr>
        <w:t xml:space="preserve">Avant le pilote, cinq conditions sont indispensables : aligner le moteur d'étayage avec le protocole, figer et journaliser les versions techniques, rendre les extractions auditables, obtenir les validations requises et remplacer toute API dont les conditions interdisent un service susceptible d'être utilisé par des mineurs.</w:t>
      </w:r>
    </w:p>
    <w:p>
      <w:pPr>
        <w:pStyle w:val="Heading1"/>
      </w:pPr>
      <w:r>
        <w:rPr>
          <w:rFonts w:ascii="Calibri" w:hAnsi="Calibri"/>
        </w:rPr>
        <w:t xml:space="preserve">1. Finalité de Devoir Complice</w:t>
      </w:r>
    </w:p>
    <w:p>
      <w:pPr>
        <w:pStyle w:val="Normal"/>
      </w:pPr>
      <w:r>
        <w:rPr>
          <w:rFonts w:ascii="Calibri" w:hAnsi="Calibri"/>
        </w:rPr>
        <w:t xml:space="preserve">Devoir Complice répond à une difficulté concrète : à la maison, les élèves ne disposent pas tous de la même aide. Certains restent seuls face à une consigne qu'ils comprennent mal ; d'autres reçoivent une aide humaine soutenue ; d'autres encore utilisent une intelligence artificielle générative capable de produire directement une réponse.</w:t>
      </w:r>
    </w:p>
    <w:p>
      <w:pPr>
        <w:pStyle w:val="Normal"/>
      </w:pPr>
      <w:r>
        <w:rPr>
          <w:rFonts w:ascii="Calibri" w:hAnsi="Calibri"/>
        </w:rPr>
        <w:t xml:space="preserve">Le projet vise à proposer un cadre intermédiaire. L'assistant accompagne la démarche sans se substituer à l'élève. Il aide à reformuler la tâche, à identifier une première étape, à expliciter une notion et à relancer le raisonnement. L'aide doit s'intensifier lorsque le blocage est observable, puis s'alléger dès que l'élève peut poursuivre seul.</w:t>
      </w:r>
    </w:p>
    <w:p>
      <w:pPr>
        <w:pStyle w:val="Normal"/>
      </w:pPr>
      <w:r>
        <w:rPr>
          <w:rFonts w:ascii="Calibri" w:hAnsi="Calibri"/>
        </w:rPr>
        <w:t xml:space="preserve">Pour l'enseignant, l'application centralise les devoirs, les rendus et des indicateurs de progression. Ces indicateurs ont une fonction pédagogique et scientifique. Ils ne constituent ni une preuve de fraude, ni une note automatique, ni un diagnostic médical ou cognitif.</w:t>
      </w:r>
    </w:p>
    <w:p>
      <w:pPr>
        <w:pStyle w:val="Normal"/>
      </w:pPr>
      <w:r>
        <w:rPr>
          <w:rFonts w:ascii="Calibri" w:hAnsi="Calibri"/>
        </w:rPr>
        <w:t xml:space="preserve">La promesse évaluée est donc précise : apporter juste assez d'aide pendant le devoir pour améliorer la compréhension, sans créer une dépendance et sans masquer ce que l'élève sait réellement faire seul.</w:t>
      </w:r>
    </w:p>
    <w:p>
      <w:pPr>
        <w:pStyle w:val="Heading1"/>
      </w:pPr>
      <w:r>
        <w:rPr>
          <w:rFonts w:ascii="Calibri" w:hAnsi="Calibri"/>
        </w:rPr>
        <w:t xml:space="preserve">2. Contexte scientifique et problématique</w:t>
      </w:r>
    </w:p>
    <w:p>
      <w:pPr>
        <w:pStyle w:val="Normal"/>
      </w:pPr>
      <w:r>
        <w:rPr>
          <w:rFonts w:ascii="Calibri" w:hAnsi="Calibri"/>
        </w:rPr>
        <w:t xml:space="preserve">L'étayage désigne l'aide temporaire qui permet à un apprenant d'accomplir une tâche encore difficile, dans la continuité des travaux de Vygotski et de Wood, Bruner et Ross. Le désétayage, ou fading, correspond au retrait progressif de cette aide lorsque les compétences se consolident. L'assistance dilemma rappelle qu'une aide excessive peut réduire l'effort cognitif, tandis qu'une aide insuffisante peut provoquer l'abandon.</w:t>
      </w:r>
    </w:p>
    <w:p>
      <w:pPr>
        <w:pStyle w:val="Normal"/>
      </w:pPr>
      <w:r>
        <w:rPr>
          <w:rFonts w:ascii="Calibri" w:hAnsi="Calibri"/>
        </w:rPr>
        <w:t xml:space="preserve">Bastani et ses coauteurs ont montré, dans une expérimentation menée auprès d'élèves de lycée en mathématiques, qu'un accès non encadré à GPT-4 améliorait fortement la performance pendant l'exercice mais pouvait dégrader la performance lors d'une évaluation ultérieure sans outil. Les effets négatifs étaient largement atténués dans une version tutorielle dotée de garde-fous et d'informations pédagogiques préparées par les enseignants. Cette étude justifie de distinguer la performance assistée de l'apprentissage autonome, sans présumer que ses résultats se reproduiront dans toutes les disciplines ou tous les contextes.</w:t>
      </w:r>
    </w:p>
    <w:p>
      <w:pPr>
        <w:pStyle w:val="Normal"/>
      </w:pPr>
      <w:r>
        <w:rPr>
          <w:rFonts w:ascii="Calibri" w:hAnsi="Calibri"/>
        </w:rPr>
        <w:t xml:space="preserve">Le présent protocole transpose cette interrogation au temps des devoirs en contexte scolaire français. Il évalue le dispositif complet Devoir Complice par rapport au devoir habituel. Il ne permet pas, à lui seul, d'isoler l'effet propre du dialogue socratique de celui du support numérique, du suivi ou des contraintes de saisie.</w:t>
      </w:r>
    </w:p>
    <w:p>
      <w:pPr>
        <w:pStyle w:val="Heading1"/>
      </w:pPr>
      <w:r>
        <w:rPr>
          <w:rFonts w:ascii="Calibri" w:hAnsi="Calibri"/>
        </w:rPr>
        <w:t xml:space="preserve">3. Questions de recherche et hypothèses</w:t>
      </w:r>
    </w:p>
    <w:p>
      <w:pPr>
        <w:pStyle w:val="Heading2"/>
      </w:pPr>
      <w:r>
        <w:rPr>
          <w:rFonts w:ascii="Calibri" w:hAnsi="Calibri"/>
        </w:rPr>
        <w:t xml:space="preserve">3.1 Critère principal</w:t>
      </w:r>
    </w:p>
    <w:p>
      <w:pPr>
        <w:pStyle w:val="Normal"/>
      </w:pPr>
      <w:r>
        <w:rPr>
          <w:rFonts w:ascii="Calibri" w:hAnsi="Calibri"/>
          <w:b/>
        </w:rPr>
        <w:t xml:space="preserve">H1. </w:t>
      </w:r>
      <w:r>
        <w:rPr>
          <w:rFonts w:ascii="Calibri" w:hAnsi="Calibri"/>
        </w:rPr>
        <w:t xml:space="preserve">Pendant la période 1, les élèves affectés à Devoir Complice obtiennent un meilleur score aux évaluations de classe sans assistant que les élèves affectés au devoir habituel.</w:t>
      </w:r>
    </w:p>
    <w:p>
      <w:pPr>
        <w:pStyle w:val="Heading2"/>
      </w:pPr>
      <w:r>
        <w:rPr>
          <w:rFonts w:ascii="Calibri" w:hAnsi="Calibri"/>
        </w:rPr>
        <w:t xml:space="preserve">3.2 Objectif secondaire majeur</w:t>
      </w:r>
    </w:p>
    <w:p>
      <w:pPr>
        <w:pStyle w:val="Normal"/>
      </w:pPr>
      <w:r>
        <w:rPr>
          <w:rFonts w:ascii="Calibri" w:hAnsi="Calibri"/>
          <w:b/>
        </w:rPr>
        <w:t xml:space="preserve">H2. </w:t>
      </w:r>
      <w:r>
        <w:rPr>
          <w:rFonts w:ascii="Calibri" w:hAnsi="Calibri"/>
        </w:rPr>
        <w:t xml:space="preserve">En condition Devoir Complice, la dose d'aide requise diminue au fil des devoirs comparables tandis que la réussite aux items et aux évaluations sans outil est maintenue ou améliorée.</w:t>
      </w:r>
    </w:p>
    <w:p>
      <w:pPr>
        <w:pStyle w:val="Heading2"/>
      </w:pPr>
      <w:r>
        <w:rPr>
          <w:rFonts w:ascii="Calibri" w:hAnsi="Calibri"/>
        </w:rPr>
        <w:t xml:space="preserve">3.3 Hypothèses secondaires et exploratoires</w:t>
      </w:r>
    </w:p>
    <w:p>
      <w:pPr>
        <w:pStyle w:val="Normal"/>
      </w:pPr>
      <w:r>
        <w:rPr>
          <w:rFonts w:ascii="Calibri" w:hAnsi="Calibri"/>
          <w:b/>
        </w:rPr>
        <w:t xml:space="preserve">H3. </w:t>
      </w:r>
      <w:r>
        <w:rPr>
          <w:rFonts w:ascii="Calibri" w:hAnsi="Calibri"/>
        </w:rPr>
        <w:t xml:space="preserve">Le taux de remise et la complétude des devoirs sont supérieurs avec Devoir Complice.</w:t>
      </w:r>
    </w:p>
    <w:p>
      <w:pPr>
        <w:pStyle w:val="Normal"/>
      </w:pPr>
      <w:r>
        <w:rPr>
          <w:rFonts w:ascii="Calibri" w:hAnsi="Calibri"/>
          <w:b/>
        </w:rPr>
        <w:t xml:space="preserve">H4. </w:t>
      </w:r>
      <w:r>
        <w:rPr>
          <w:rFonts w:ascii="Calibri" w:hAnsi="Calibri"/>
        </w:rPr>
        <w:t xml:space="preserve">La qualité des productions, évaluée en aveugle, est supérieure avec Devoir Complice et les sorties de l'assistant respectent les garde-fous prévus.</w:t>
      </w:r>
    </w:p>
    <w:p>
      <w:pPr>
        <w:pStyle w:val="Normal"/>
      </w:pPr>
      <w:r>
        <w:rPr>
          <w:rFonts w:ascii="Calibri" w:hAnsi="Calibri"/>
          <w:b/>
        </w:rPr>
        <w:t xml:space="preserve">H5. </w:t>
      </w:r>
      <w:r>
        <w:rPr>
          <w:rFonts w:ascii="Calibri" w:hAnsi="Calibri"/>
        </w:rPr>
        <w:t xml:space="preserve">Le sentiment d'efficacité personnelle progresse davantage après l'accès à Devoir Complice, sans augmentation substantielle de la charge de travail déclarée par les enseignants.</w:t>
      </w:r>
    </w:p>
    <w:p>
      <w:pPr>
        <w:pStyle w:val="Normal"/>
      </w:pPr>
      <w:r>
        <w:rPr>
          <w:rFonts w:ascii="Calibri" w:hAnsi="Calibri"/>
          <w:b/>
        </w:rPr>
        <w:t xml:space="preserve">H6. </w:t>
      </w:r>
      <w:r>
        <w:rPr>
          <w:rFonts w:ascii="Calibri" w:hAnsi="Calibri"/>
        </w:rPr>
        <w:t xml:space="preserve">Les effets peuvent varier selon la voie de formation et l'existence d'aménagements pédagogiques. Ces analyses de modération sont exploratoires et ne seront conduites que si les effectifs et le cadre de protection des données le permettent.</w:t>
      </w:r>
    </w:p>
    <w:p>
      <w:pPr>
        <w:pStyle w:val="Normal"/>
      </w:pPr>
      <w:r>
        <w:rPr>
          <w:rFonts w:ascii="Calibri" w:hAnsi="Calibri"/>
          <w:b/>
        </w:rPr>
        <w:t xml:space="preserve">H7. </w:t>
      </w:r>
      <w:r>
        <w:rPr>
          <w:rFonts w:ascii="Calibri" w:hAnsi="Calibri"/>
        </w:rPr>
        <w:t xml:space="preserve">Les acquis développés pendant la période 1 persistent partiellement lorsque le premier groupe revient au devoir habituel pendant la période 2.</w:t>
      </w:r>
    </w:p>
    <w:p>
      <w:pPr>
        <w:pStyle w:val="Heading1"/>
      </w:pPr>
      <w:r>
        <w:rPr>
          <w:rFonts w:ascii="Calibri" w:hAnsi="Calibri"/>
        </w:rPr>
        <w:t xml:space="preserve">4. Plan expérimental</w:t>
      </w:r>
    </w:p>
    <w:p>
      <w:pPr>
        <w:pStyle w:val="Heading2"/>
      </w:pPr>
      <w:r>
        <w:rPr>
          <w:rFonts w:ascii="Calibri" w:hAnsi="Calibri"/>
        </w:rPr>
        <w:t xml:space="preserve">4.1 Design retenu : essai randomisé à démarrage différé</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1512"/>
        <w:gridCol w:w="2376"/>
        <w:gridCol w:w="2376"/>
        <w:gridCol w:w="3096"/>
      </w:tblGrid>
      <w:tr>
        <w:trPr>
          <w:tblHeader/>
        </w:trPr>
        <w:tc>
          <w:tcPr>
            <w:tcW w:w="1512" w:type="dxa"/>
            <w:shd w:val="clear" w:color="auto" w:fill="F4F6F9"/>
            <w:vAlign w:val="center"/>
          </w:tcPr>
          <w:p>
            <w:pPr>
              <w:pStyle w:val="TableText"/>
            </w:pPr>
            <w:r>
              <w:rPr>
                <w:rFonts w:ascii="Calibri" w:hAnsi="Calibri"/>
                <w:b/>
              </w:rPr>
              <w:t xml:space="preserve">Séquence</w:t>
            </w:r>
          </w:p>
        </w:tc>
        <w:tc>
          <w:tcPr>
            <w:tcW w:w="2376" w:type="dxa"/>
            <w:shd w:val="clear" w:color="auto" w:fill="F4F6F9"/>
            <w:vAlign w:val="center"/>
          </w:tcPr>
          <w:p>
            <w:pPr>
              <w:pStyle w:val="TableText"/>
            </w:pPr>
            <w:r>
              <w:rPr>
                <w:rFonts w:ascii="Calibri" w:hAnsi="Calibri"/>
                <w:b/>
              </w:rPr>
              <w:t xml:space="preserve">Période 1 : oct.-déc.</w:t>
            </w:r>
          </w:p>
        </w:tc>
        <w:tc>
          <w:tcPr>
            <w:tcW w:w="2376" w:type="dxa"/>
            <w:shd w:val="clear" w:color="auto" w:fill="F4F6F9"/>
            <w:vAlign w:val="center"/>
          </w:tcPr>
          <w:p>
            <w:pPr>
              <w:pStyle w:val="TableText"/>
            </w:pPr>
            <w:r>
              <w:rPr>
                <w:rFonts w:ascii="Calibri" w:hAnsi="Calibri"/>
                <w:b/>
              </w:rPr>
              <w:t xml:space="preserve">Période 2 : janv.-mars</w:t>
            </w:r>
          </w:p>
        </w:tc>
        <w:tc>
          <w:tcPr>
            <w:tcW w:w="3096" w:type="dxa"/>
            <w:shd w:val="clear" w:color="auto" w:fill="F4F6F9"/>
            <w:vAlign w:val="center"/>
          </w:tcPr>
          <w:p>
            <w:pPr>
              <w:pStyle w:val="TableText"/>
            </w:pPr>
            <w:r>
              <w:rPr>
                <w:rFonts w:ascii="Calibri" w:hAnsi="Calibri"/>
                <w:b/>
              </w:rPr>
              <w:t xml:space="preserve">Interprétation</w:t>
            </w:r>
          </w:p>
        </w:tc>
      </w:tr>
      <w:tr>
        <w:tc>
          <w:tcPr>
            <w:tcW w:w="1512" w:type="dxa"/>
            <w:vAlign w:val="center"/>
          </w:tcPr>
          <w:p>
            <w:pPr>
              <w:pStyle w:val="TableText"/>
            </w:pPr>
            <w:r>
              <w:rPr>
                <w:rFonts w:ascii="Calibri" w:hAnsi="Calibri"/>
              </w:rPr>
              <w:t xml:space="preserve">Groupe A</w:t>
            </w:r>
          </w:p>
        </w:tc>
        <w:tc>
          <w:tcPr>
            <w:tcW w:w="2376" w:type="dxa"/>
            <w:vAlign w:val="center"/>
          </w:tcPr>
          <w:p>
            <w:pPr>
              <w:pStyle w:val="TableText"/>
            </w:pPr>
            <w:r>
              <w:rPr>
                <w:rFonts w:ascii="Calibri" w:hAnsi="Calibri"/>
              </w:rPr>
              <w:t xml:space="preserve">Devoir Complice, 4 à 5 devoirs</w:t>
            </w:r>
          </w:p>
        </w:tc>
        <w:tc>
          <w:tcPr>
            <w:tcW w:w="2376" w:type="dxa"/>
            <w:vAlign w:val="center"/>
          </w:tcPr>
          <w:p>
            <w:pPr>
              <w:pStyle w:val="TableText"/>
            </w:pPr>
            <w:r>
              <w:rPr>
                <w:rFonts w:ascii="Calibri" w:hAnsi="Calibri"/>
              </w:rPr>
              <w:t xml:space="preserve">Devoir habituel, 4 à 5 devoirs</w:t>
            </w:r>
          </w:p>
        </w:tc>
        <w:tc>
          <w:tcPr>
            <w:tcW w:w="3096" w:type="dxa"/>
            <w:vAlign w:val="center"/>
          </w:tcPr>
          <w:p>
            <w:pPr>
              <w:pStyle w:val="TableText"/>
            </w:pPr>
            <w:r>
              <w:rPr>
                <w:rFonts w:ascii="Calibri" w:hAnsi="Calibri"/>
              </w:rPr>
              <w:t xml:space="preserve">Effet principal en P1 ; persistance en P2</w:t>
            </w:r>
          </w:p>
        </w:tc>
      </w:tr>
      <w:tr>
        <w:tc>
          <w:tcPr>
            <w:tcW w:w="1512" w:type="dxa"/>
            <w:vAlign w:val="center"/>
          </w:tcPr>
          <w:p>
            <w:pPr>
              <w:pStyle w:val="TableText"/>
            </w:pPr>
            <w:r>
              <w:rPr>
                <w:rFonts w:ascii="Calibri" w:hAnsi="Calibri"/>
              </w:rPr>
              <w:t xml:space="preserve">Groupe B</w:t>
            </w:r>
          </w:p>
        </w:tc>
        <w:tc>
          <w:tcPr>
            <w:tcW w:w="2376" w:type="dxa"/>
            <w:vAlign w:val="center"/>
          </w:tcPr>
          <w:p>
            <w:pPr>
              <w:pStyle w:val="TableText"/>
            </w:pPr>
            <w:r>
              <w:rPr>
                <w:rFonts w:ascii="Calibri" w:hAnsi="Calibri"/>
              </w:rPr>
              <w:t xml:space="preserve">Devoir habituel, 4 à 5 devoirs</w:t>
            </w:r>
          </w:p>
        </w:tc>
        <w:tc>
          <w:tcPr>
            <w:tcW w:w="2376" w:type="dxa"/>
            <w:vAlign w:val="center"/>
          </w:tcPr>
          <w:p>
            <w:pPr>
              <w:pStyle w:val="TableText"/>
            </w:pPr>
            <w:r>
              <w:rPr>
                <w:rFonts w:ascii="Calibri" w:hAnsi="Calibri"/>
              </w:rPr>
              <w:t xml:space="preserve">Devoir Complice, 4 à 5 devoirs</w:t>
            </w:r>
          </w:p>
        </w:tc>
        <w:tc>
          <w:tcPr>
            <w:tcW w:w="3096" w:type="dxa"/>
            <w:vAlign w:val="center"/>
          </w:tcPr>
          <w:p>
            <w:pPr>
              <w:pStyle w:val="TableText"/>
            </w:pPr>
            <w:r>
              <w:rPr>
                <w:rFonts w:ascii="Calibri" w:hAnsi="Calibri"/>
              </w:rPr>
              <w:t xml:space="preserve">Témoin principal en P1 ; réplication en P2</w:t>
            </w:r>
          </w:p>
        </w:tc>
      </w:tr>
      <w:tr>
        <w:tc>
          <w:tcPr>
            <w:tcW w:w="1512" w:type="dxa"/>
            <w:vAlign w:val="center"/>
          </w:tcPr>
          <w:p>
            <w:pPr>
              <w:pStyle w:val="TableText"/>
            </w:pPr>
            <w:r>
              <w:rPr>
                <w:rFonts w:ascii="Calibri" w:hAnsi="Calibri"/>
              </w:rPr>
              <w:t xml:space="preserve">Tous</w:t>
            </w:r>
          </w:p>
        </w:tc>
        <w:tc>
          <w:tcPr>
            <w:tcW w:w="2376" w:type="dxa"/>
            <w:vAlign w:val="center"/>
          </w:tcPr>
          <w:p>
            <w:pPr>
              <w:pStyle w:val="TableText"/>
            </w:pPr>
            <w:r>
              <w:rPr>
                <w:rFonts w:ascii="Calibri" w:hAnsi="Calibri"/>
              </w:rPr>
              <w:t xml:space="preserve">Évaluation sans assistant après chaque devoir</w:t>
            </w:r>
          </w:p>
        </w:tc>
        <w:tc>
          <w:tcPr>
            <w:tcW w:w="2376" w:type="dxa"/>
            <w:vAlign w:val="center"/>
          </w:tcPr>
          <w:p>
            <w:pPr>
              <w:pStyle w:val="TableText"/>
            </w:pPr>
            <w:r>
              <w:rPr>
                <w:rFonts w:ascii="Calibri" w:hAnsi="Calibri"/>
              </w:rPr>
              <w:t xml:space="preserve">Évaluation sans assistant après chaque devoir</w:t>
            </w:r>
          </w:p>
        </w:tc>
        <w:tc>
          <w:tcPr>
            <w:tcW w:w="3096" w:type="dxa"/>
            <w:vAlign w:val="center"/>
          </w:tcPr>
          <w:p>
            <w:pPr>
              <w:pStyle w:val="TableText"/>
            </w:pPr>
            <w:r>
              <w:rPr>
                <w:rFonts w:ascii="Calibri" w:hAnsi="Calibri"/>
              </w:rPr>
              <w:t xml:space="preserve">Même contenu, délai, cours, barème et calendrier dans chaque contexte</w:t>
            </w:r>
          </w:p>
        </w:tc>
      </w:tr>
    </w:tbl>
    <w:p>
      <w:pPr>
        <w:spacing w:after="80"/>
      </w:pPr>
    </w:p>
    <w:p>
      <w:pPr>
        <w:pStyle w:val="Normal"/>
      </w:pPr>
      <w:r>
        <w:rPr>
          <w:rFonts w:ascii="Calibri" w:hAnsi="Calibri"/>
        </w:rPr>
        <w:t xml:space="preserve">La période 1 fournit l'estimation causale principale, avant exposition du groupe témoin. La période 2 répond à un objectif d'équité et enrichit l'analyse, mais elle peut comporter un effet de persistance. Les résultats des deux périodes ne seront donc pas fusionnés comme s'il s'agissait d'un essai croisé à effets réversibles.</w:t>
      </w:r>
    </w:p>
    <w:p>
      <w:pPr>
        <w:pStyle w:val="Heading2"/>
      </w:pPr>
      <w:r>
        <w:rPr>
          <w:rFonts w:ascii="Calibri" w:hAnsi="Calibri"/>
        </w:rPr>
        <w:t xml:space="preserve">4.2 Unité et procédure de randomisation</w:t>
      </w:r>
    </w:p>
    <w:p>
      <w:pPr>
        <w:pStyle w:val="Normal"/>
      </w:pPr>
      <w:r>
        <w:rPr>
          <w:rFonts w:ascii="Calibri" w:hAnsi="Calibri"/>
        </w:rPr>
        <w:t xml:space="preserve">La randomisation est réalisée au niveau de l'élève, à l'intérieur de chaque classe, par une personne du laboratoire qui n'enseigne pas aux participants. Elle est stratifiée au minimum sur le contexte classe-matière et le tercile du score diagnostique. Une stratification supplémentaire sur les aménagements pédagogiques n'est utilisée que si elle est nécessaire, autorisée et compatible avec des cellules d'effectif suffisantes. Le script, la graine, la date et la liste pseudonymisée sont archivés avant le premier devoir.</w:t>
      </w:r>
    </w:p>
    <w:p>
      <w:pPr>
        <w:pStyle w:val="Normal"/>
      </w:pPr>
      <w:r>
        <w:rPr>
          <w:rFonts w:ascii="Calibri" w:hAnsi="Calibri"/>
        </w:rPr>
        <w:t xml:space="preserve">Si la randomisation individuelle est impossible dans un contexte, une randomisation par classe peut être envisagée dans un protocole distinct, avec un nouveau calcul de puissance. Elle ne doit pas être ajoutée en cours d'étude comme simple solution de repli sans amendement pré-enregistré.</w:t>
      </w:r>
    </w:p>
    <w:p>
      <w:pPr>
        <w:pStyle w:val="Heading2"/>
      </w:pPr>
      <w:r>
        <w:rPr>
          <w:rFonts w:ascii="Calibri" w:hAnsi="Calibri"/>
        </w:rPr>
        <w:t xml:space="preserve">4.3 Conditions comparées</w:t>
      </w:r>
    </w:p>
    <w:p>
      <w:pPr>
        <w:pStyle w:val="ListText"/>
        <w:numPr>
          <w:ilvl w:val="0"/>
          <w:numId w:val="1"/>
        </w:numPr>
      </w:pPr>
      <w:r>
        <w:rPr>
          <w:rFonts w:ascii="Calibri" w:hAnsi="Calibri"/>
        </w:rPr>
        <w:t xml:space="preserve">Condition Devoir Complice : réalisation dans l'application avec assistant adaptatif, selon la configuration expérimentale figée. Les autres IA génératives ne sont pas autorisées pour ce devoir, sans prétendre pouvoir contrôler intégralement le domicile.</w:t>
      </w:r>
    </w:p>
    <w:p>
      <w:pPr>
        <w:pStyle w:val="ListText"/>
        <w:numPr>
          <w:ilvl w:val="0"/>
          <w:numId w:val="1"/>
        </w:numPr>
      </w:pPr>
      <w:r>
        <w:rPr>
          <w:rFonts w:ascii="Calibri" w:hAnsi="Calibri"/>
        </w:rPr>
        <w:t xml:space="preserve">Condition devoir habituel : même devoir dans le format normalement utilisé par l'enseignant. L'aide extérieure éventuelle est mesurée de façon confidentielle et n'entraîne aucune sanction dans le cadre de la recherche.</w:t>
      </w:r>
    </w:p>
    <w:p>
      <w:pPr>
        <w:pStyle w:val="ListText"/>
        <w:numPr>
          <w:ilvl w:val="0"/>
          <w:numId w:val="1"/>
        </w:numPr>
      </w:pPr>
      <w:r>
        <w:rPr>
          <w:rFonts w:ascii="Calibri" w:hAnsi="Calibri"/>
        </w:rPr>
        <w:t xml:space="preserve">Dans les deux conditions : consigne, attendus, ressources autorisées, délai, cours, évaluation associée, barème et procédure de correction identiques.</w:t>
      </w:r>
    </w:p>
    <w:p>
      <w:pPr>
        <w:pStyle w:val="ListText"/>
        <w:numPr>
          <w:ilvl w:val="0"/>
          <w:numId w:val="1"/>
        </w:numPr>
      </w:pPr>
      <w:r>
        <w:rPr>
          <w:rFonts w:ascii="Calibri" w:hAnsi="Calibri"/>
        </w:rPr>
        <w:t xml:space="preserve">L'évaluation sans assistant a lieu idéalement entre 3 et 8 jours après le devoir et avant toute correction collective révélant les réponses attendues. Si cela est impossible, l'écart au protocole est consigné.</w:t>
      </w:r>
    </w:p>
    <w:p>
      <w:pPr>
        <w:pStyle w:val="ListText"/>
        <w:numPr>
          <w:ilvl w:val="0"/>
          <w:numId w:val="1"/>
        </w:numPr>
      </w:pPr>
      <w:r>
        <w:rPr>
          <w:rFonts w:ascii="Calibri" w:hAnsi="Calibri"/>
        </w:rPr>
        <w:t xml:space="preserve">Les aménagements scolaires habituels restent disponibles pendant les devoirs et les évaluations. « Sans outil » signifie sans assistant génératif, et non sans compensation pédagogique.</w:t>
      </w:r>
    </w:p>
    <w:p>
      <w:pPr>
        <w:pStyle w:val="Heading2"/>
      </w:pPr>
      <w:r>
        <w:rPr>
          <w:rFonts w:ascii="Calibri" w:hAnsi="Calibri"/>
        </w:rPr>
        <w:t xml:space="preserve">4.4 Familiarisation et prévention de l'effet de nouveauté</w:t>
      </w:r>
    </w:p>
    <w:p>
      <w:pPr>
        <w:pStyle w:val="Normal"/>
      </w:pPr>
      <w:r>
        <w:rPr>
          <w:rFonts w:ascii="Calibri" w:hAnsi="Calibri"/>
        </w:rPr>
        <w:t xml:space="preserve">Avant la randomisation opérationnelle, toute la classe assiste à une séance commune présentant le but de l'étude, les règles d'usage, les droits des participants et une démonstration sans contenu évalué. Le groupe témoin ne réalise pas de devoir expérimental avec l'assistant avant la fin de la période 1.</w:t>
      </w:r>
    </w:p>
    <w:p>
      <w:pPr>
        <w:pStyle w:val="Heading1"/>
      </w:pPr>
      <w:r>
        <w:rPr>
          <w:rFonts w:ascii="Calibri" w:hAnsi="Calibri"/>
        </w:rPr>
        <w:t xml:space="preserve">5. Participants et faisabilité</w:t>
      </w:r>
    </w:p>
    <w:p>
      <w:pPr>
        <w:pStyle w:val="Normal"/>
      </w:pPr>
      <w:r>
        <w:rPr>
          <w:rFonts w:ascii="Calibri" w:hAnsi="Calibri"/>
        </w:rPr>
        <w:t xml:space="preserve">La cible de recrutement reste de 6 à 8 classes et 150 à 200 élèves inscrits, en voies générale et professionnelle, avec 5 à 8 enseignants volontaires. Ce nombre est un objectif de recrutement et non une garantie de puissance pour toutes les interactions.</w:t>
      </w:r>
    </w:p>
    <w:p>
      <w:pPr>
        <w:pStyle w:val="Normal"/>
      </w:pPr>
      <w:r>
        <w:rPr>
          <w:rFonts w:ascii="Calibri" w:hAnsi="Calibri"/>
        </w:rPr>
        <w:t xml:space="preserve">Le calcul d'effectif définitif sera effectué par simulation avant le pré-enregistrement. Il intégrera la taille d'effet minimale jugée pertinente, les mesures répétées, la corrélation intra-élève, les classes, les devoirs, les absences et l'attrition. Le pilote fournira les premières estimations de variance et de corrélation. Les analyses de modération resteront exploratoires si leurs intervalles de confiance sont trop larges.</w:t>
      </w:r>
    </w:p>
    <w:p>
      <w:pPr>
        <w:pStyle w:val="Normal"/>
      </w:pPr>
      <w:r>
        <w:rPr>
          <w:rFonts w:ascii="Calibri" w:hAnsi="Calibri"/>
        </w:rPr>
        <w:t xml:space="preserve">Chaque enseignant prévoit 8 à 10 devoirs et autant d'évaluations courtes. Cette charge représente potentiellement plusieurs heures de classe ; elle est confirmée après un pilote de deux devoirs par contexte. Les abandons d'enseignants et les écarts de calendrier sont documentés.</w:t>
      </w:r>
    </w:p>
    <w:p>
      <w:pPr>
        <w:pStyle w:val="Heading1"/>
      </w:pPr>
      <w:r>
        <w:rPr>
          <w:rFonts w:ascii="Calibri" w:hAnsi="Calibri"/>
        </w:rPr>
        <w:t xml:space="preserve">6. Configuration expérimentale de Devoir Complice</w:t>
      </w:r>
    </w:p>
    <w:p>
      <w:pPr>
        <w:pStyle w:val="Callout"/>
      </w:pPr>
      <w:r>
        <w:rPr>
          <w:rFonts w:ascii="Calibri" w:hAnsi="Calibri"/>
          <w:b/>
        </w:rPr>
        <w:t xml:space="preserve">Précondition technique : </w:t>
      </w:r>
      <w:r>
        <w:rPr>
          <w:rFonts w:ascii="Calibri" w:hAnsi="Calibri"/>
        </w:rPr>
        <w:t xml:space="preserve">le protocole ne commence qu'après vérification que le comportement réel de l'application, les données enregistrées et les exports correspondent aux définitions ci-dessous.</w:t>
      </w:r>
    </w:p>
    <w:p>
      <w:pPr>
        <w:pStyle w:val="Heading2"/>
      </w:pPr>
      <w:r>
        <w:rPr>
          <w:rFonts w:ascii="Calibri" w:hAnsi="Calibri"/>
        </w:rPr>
        <w:t xml:space="preserve">6.1 Moteur d'étayage à tester</w:t>
      </w:r>
    </w:p>
    <w:p>
      <w:pPr>
        <w:pStyle w:val="ListText"/>
        <w:numPr>
          <w:ilvl w:val="0"/>
          <w:numId w:val="1"/>
        </w:numPr>
      </w:pPr>
      <w:r>
        <w:rPr>
          <w:rFonts w:ascii="Calibri" w:hAnsi="Calibri"/>
        </w:rPr>
        <w:t xml:space="preserve">Chaque nouvel item ou concept débute au niveau 1, correspondant à un questionnement socratique sans indice de contenu.</w:t>
      </w:r>
    </w:p>
    <w:p>
      <w:pPr>
        <w:pStyle w:val="ListText"/>
        <w:numPr>
          <w:ilvl w:val="0"/>
          <w:numId w:val="1"/>
        </w:numPr>
      </w:pPr>
      <w:r>
        <w:rPr>
          <w:rFonts w:ascii="Calibri" w:hAnsi="Calibri"/>
        </w:rPr>
        <w:t xml:space="preserve">Le niveau augmente uniquement après une demande d'aide explicite, un blocage observable ou des erreurs répétées selon des règles pré-enregistrées.</w:t>
      </w:r>
    </w:p>
    <w:p>
      <w:pPr>
        <w:pStyle w:val="ListText"/>
        <w:numPr>
          <w:ilvl w:val="0"/>
          <w:numId w:val="1"/>
        </w:numPr>
      </w:pPr>
      <w:r>
        <w:rPr>
          <w:rFonts w:ascii="Calibri" w:hAnsi="Calibri"/>
        </w:rPr>
        <w:t xml:space="preserve">Le niveau peut redescendre après des réussites observables, mais cette transition est enregistrée séparément de l'aide effectivement fournie.</w:t>
      </w:r>
    </w:p>
    <w:p>
      <w:pPr>
        <w:pStyle w:val="ListText"/>
        <w:numPr>
          <w:ilvl w:val="0"/>
          <w:numId w:val="1"/>
        </w:numPr>
      </w:pPr>
      <w:r>
        <w:rPr>
          <w:rFonts w:ascii="Calibri" w:hAnsi="Calibri"/>
        </w:rPr>
        <w:t xml:space="preserve">Le suivi est réalisé au niveau d'un item ou d'un concept stable. Un unique état global pour tout le devoir ne suffit pas pour mesurer l'aide requise.</w:t>
      </w:r>
    </w:p>
    <w:p>
      <w:pPr>
        <w:pStyle w:val="ListText"/>
        <w:numPr>
          <w:ilvl w:val="0"/>
          <w:numId w:val="1"/>
        </w:numPr>
      </w:pPr>
      <w:r>
        <w:rPr>
          <w:rFonts w:ascii="Calibri" w:hAnsi="Calibri"/>
        </w:rPr>
        <w:t xml:space="preserve">Le plafond d'aide est fixé avant diffusion. Dans l'étude principale, il est identique pour tous les devoirs comparés, sauf adaptation prévue et documentée.</w:t>
      </w:r>
    </w:p>
    <w:p>
      <w:pPr>
        <w:pStyle w:val="ListText"/>
        <w:numPr>
          <w:ilvl w:val="0"/>
          <w:numId w:val="1"/>
        </w:numPr>
      </w:pPr>
      <w:r>
        <w:rPr>
          <w:rFonts w:ascii="Calibri" w:hAnsi="Calibri"/>
        </w:rPr>
        <w:t xml:space="preserve">Une adaptation d'accessibilité peut modifier la forme et les seuils de progression. Sa règle est figée, versionnée et prise en compte dans l'analyse.</w:t>
      </w:r>
    </w:p>
    <w:p>
      <w:pPr>
        <w:pStyle w:val="Heading2"/>
      </w:pPr>
      <w:r>
        <w:rPr>
          <w:rFonts w:ascii="Calibri" w:hAnsi="Calibri"/>
        </w:rPr>
        <w:t xml:space="preserve">6.2 Gel et traçabilité de l'intervention</w:t>
      </w:r>
    </w:p>
    <w:p>
      <w:pPr>
        <w:pStyle w:val="Normal"/>
      </w:pPr>
      <w:r>
        <w:rPr>
          <w:rFonts w:ascii="Calibri" w:hAnsi="Calibri"/>
        </w:rPr>
        <w:t xml:space="preserve">Le fournisseur, le modèle, la version du prompt, les paramètres de génération, les règles de transition et la version de l'application sont gelés pendant une période. Toute modification urgente est datée, justifiée et traitée comme une déviation. Les journaux permettent de reconstruire chaque intervention sans exposer davantage de données que nécessaire.</w:t>
      </w:r>
    </w:p>
    <w:p>
      <w:pPr>
        <w:pStyle w:val="Normal"/>
      </w:pPr>
      <w:r>
        <w:rPr>
          <w:rFonts w:ascii="Calibri" w:hAnsi="Calibri"/>
        </w:rPr>
        <w:t xml:space="preserve">Un audit de fidélité est mené sur un échantillon aléatoire d'échanges de chaque période. Deux évaluateurs vérifient si l'assistant a donné une réponse finale, fourni une information fausse, ignoré le blocage ou produit une aide conforme au niveau annoncé.</w:t>
      </w:r>
    </w:p>
    <w:p>
      <w:pPr>
        <w:pStyle w:val="Heading1"/>
      </w:pPr>
      <w:r>
        <w:rPr>
          <w:rFonts w:ascii="Calibri" w:hAnsi="Calibri"/>
        </w:rPr>
        <w:t xml:space="preserve">7. Variables et instruments</w:t>
      </w:r>
    </w:p>
    <w:p>
      <w:pPr>
        <w:pStyle w:val="Heading2"/>
      </w:pPr>
      <w:r>
        <w:rPr>
          <w:rFonts w:ascii="Calibri" w:hAnsi="Calibri"/>
        </w:rPr>
        <w:t xml:space="preserve">7.1 Critère principal d'apprentissage</w:t>
      </w:r>
    </w:p>
    <w:p>
      <w:pPr>
        <w:pStyle w:val="Normal"/>
      </w:pPr>
      <w:r>
        <w:rPr>
          <w:rFonts w:ascii="Calibri" w:hAnsi="Calibri"/>
        </w:rPr>
        <w:t xml:space="preserve">Le critère principal est le score à une évaluation courte en classe, sans assistant d'intelligence artificielle, portant sur les notions du devoir précédent. Les items doivent demander un transfert proche : ils mobilisent les mêmes notions sans reproduire exactement le devoir. Les copies sont pseudonymisées et corrigées sans indication de la condition.</w:t>
      </w:r>
    </w:p>
    <w:p>
      <w:pPr>
        <w:pStyle w:val="Normal"/>
      </w:pPr>
      <w:r>
        <w:rPr>
          <w:rFonts w:ascii="Calibri" w:hAnsi="Calibri"/>
        </w:rPr>
        <w:t xml:space="preserve">Le score est conservé dans son barème d'origine et standardisé au sein de chaque évaluation pour l'analyse combinée. La note diagnostique ou un prétest comparable est défini avant la randomisation. Une mesure différée sur un sous-ensemble de notions est ajoutée si le calendrier le permet afin d'étudier la rétention.</w:t>
      </w:r>
    </w:p>
    <w:p>
      <w:pPr>
        <w:pStyle w:val="Heading2"/>
      </w:pPr>
      <w:r>
        <w:rPr>
          <w:rFonts w:ascii="Calibri" w:hAnsi="Calibri"/>
        </w:rPr>
        <w:t xml:space="preserve">7.2 Mesure du désétayage</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2232"/>
        <w:gridCol w:w="4032"/>
        <w:gridCol w:w="3096"/>
      </w:tblGrid>
      <w:tr>
        <w:trPr>
          <w:tblHeader/>
        </w:trPr>
        <w:tc>
          <w:tcPr>
            <w:tcW w:w="2232" w:type="dxa"/>
            <w:shd w:val="clear" w:color="auto" w:fill="F4F6F9"/>
            <w:vAlign w:val="center"/>
          </w:tcPr>
          <w:p>
            <w:pPr>
              <w:pStyle w:val="TableText"/>
            </w:pPr>
            <w:r>
              <w:rPr>
                <w:rFonts w:ascii="Calibri" w:hAnsi="Calibri"/>
                <w:b/>
              </w:rPr>
              <w:t xml:space="preserve">Indicateur</w:t>
            </w:r>
          </w:p>
        </w:tc>
        <w:tc>
          <w:tcPr>
            <w:tcW w:w="4032" w:type="dxa"/>
            <w:shd w:val="clear" w:color="auto" w:fill="F4F6F9"/>
            <w:vAlign w:val="center"/>
          </w:tcPr>
          <w:p>
            <w:pPr>
              <w:pStyle w:val="TableText"/>
            </w:pPr>
            <w:r>
              <w:rPr>
                <w:rFonts w:ascii="Calibri" w:hAnsi="Calibri"/>
                <w:b/>
              </w:rPr>
              <w:t xml:space="preserve">Définition opérationnelle</w:t>
            </w:r>
          </w:p>
        </w:tc>
        <w:tc>
          <w:tcPr>
            <w:tcW w:w="3096" w:type="dxa"/>
            <w:shd w:val="clear" w:color="auto" w:fill="F4F6F9"/>
            <w:vAlign w:val="center"/>
          </w:tcPr>
          <w:p>
            <w:pPr>
              <w:pStyle w:val="TableText"/>
            </w:pPr>
            <w:r>
              <w:rPr>
                <w:rFonts w:ascii="Calibri" w:hAnsi="Calibri"/>
                <w:b/>
              </w:rPr>
              <w:t xml:space="preserve">Interprétation</w:t>
            </w:r>
          </w:p>
        </w:tc>
      </w:tr>
      <w:tr>
        <w:tc>
          <w:tcPr>
            <w:tcW w:w="2232" w:type="dxa"/>
            <w:vAlign w:val="center"/>
          </w:tcPr>
          <w:p>
            <w:pPr>
              <w:pStyle w:val="TableText"/>
            </w:pPr>
            <w:r>
              <w:rPr>
                <w:rFonts w:ascii="Calibri" w:hAnsi="Calibri"/>
              </w:rPr>
              <w:t xml:space="preserve">Niveau maximal requis</w:t>
            </w:r>
          </w:p>
        </w:tc>
        <w:tc>
          <w:tcPr>
            <w:tcW w:w="4032" w:type="dxa"/>
            <w:vAlign w:val="center"/>
          </w:tcPr>
          <w:p>
            <w:pPr>
              <w:pStyle w:val="TableText"/>
            </w:pPr>
            <w:r>
              <w:rPr>
                <w:rFonts w:ascii="Calibri" w:hAnsi="Calibri"/>
              </w:rPr>
              <w:t xml:space="preserve">Plus haut niveau effectivement fourni par item après départ au niveau 1</w:t>
            </w:r>
          </w:p>
        </w:tc>
        <w:tc>
          <w:tcPr>
            <w:tcW w:w="3096" w:type="dxa"/>
            <w:vAlign w:val="center"/>
          </w:tcPr>
          <w:p>
            <w:pPr>
              <w:pStyle w:val="TableText"/>
            </w:pPr>
            <w:r>
              <w:rPr>
                <w:rFonts w:ascii="Calibri" w:hAnsi="Calibri"/>
              </w:rPr>
              <w:t xml:space="preserve">Intensité maximale nécessaire</w:t>
            </w:r>
          </w:p>
        </w:tc>
      </w:tr>
      <w:tr>
        <w:tc>
          <w:tcPr>
            <w:tcW w:w="2232" w:type="dxa"/>
            <w:vAlign w:val="center"/>
          </w:tcPr>
          <w:p>
            <w:pPr>
              <w:pStyle w:val="TableText"/>
            </w:pPr>
            <w:r>
              <w:rPr>
                <w:rFonts w:ascii="Calibri" w:hAnsi="Calibri"/>
              </w:rPr>
              <w:t xml:space="preserve">Dose d'aide</w:t>
            </w:r>
          </w:p>
        </w:tc>
        <w:tc>
          <w:tcPr>
            <w:tcW w:w="4032" w:type="dxa"/>
            <w:vAlign w:val="center"/>
          </w:tcPr>
          <w:p>
            <w:pPr>
              <w:pStyle w:val="TableText"/>
            </w:pPr>
            <w:r>
              <w:rPr>
                <w:rFonts w:ascii="Calibri" w:hAnsi="Calibri"/>
              </w:rPr>
              <w:t xml:space="preserve">Somme pondérée des interventions, rapportée au nombre d'items ou d'occasions</w:t>
            </w:r>
          </w:p>
        </w:tc>
        <w:tc>
          <w:tcPr>
            <w:tcW w:w="3096" w:type="dxa"/>
            <w:vAlign w:val="center"/>
          </w:tcPr>
          <w:p>
            <w:pPr>
              <w:pStyle w:val="TableText"/>
            </w:pPr>
            <w:r>
              <w:rPr>
                <w:rFonts w:ascii="Calibri" w:hAnsi="Calibri"/>
              </w:rPr>
              <w:t xml:space="preserve">Exposition totale à l'aide</w:t>
            </w:r>
          </w:p>
        </w:tc>
      </w:tr>
      <w:tr>
        <w:tc>
          <w:tcPr>
            <w:tcW w:w="2232" w:type="dxa"/>
            <w:vAlign w:val="center"/>
          </w:tcPr>
          <w:p>
            <w:pPr>
              <w:pStyle w:val="TableText"/>
            </w:pPr>
            <w:r>
              <w:rPr>
                <w:rFonts w:ascii="Calibri" w:hAnsi="Calibri"/>
              </w:rPr>
              <w:t xml:space="preserve">Résolution au niveau 1</w:t>
            </w:r>
          </w:p>
        </w:tc>
        <w:tc>
          <w:tcPr>
            <w:tcW w:w="4032" w:type="dxa"/>
            <w:vAlign w:val="center"/>
          </w:tcPr>
          <w:p>
            <w:pPr>
              <w:pStyle w:val="TableText"/>
            </w:pPr>
            <w:r>
              <w:rPr>
                <w:rFonts w:ascii="Calibri" w:hAnsi="Calibri"/>
              </w:rPr>
              <w:t xml:space="preserve">Proportion d'items réussis sans dépasser le questionnement socratique</w:t>
            </w:r>
          </w:p>
        </w:tc>
        <w:tc>
          <w:tcPr>
            <w:tcW w:w="3096" w:type="dxa"/>
            <w:vAlign w:val="center"/>
          </w:tcPr>
          <w:p>
            <w:pPr>
              <w:pStyle w:val="TableText"/>
            </w:pPr>
            <w:r>
              <w:rPr>
                <w:rFonts w:ascii="Calibri" w:hAnsi="Calibri"/>
              </w:rPr>
              <w:t xml:space="preserve">Autonomie avec soutien minimal</w:t>
            </w:r>
          </w:p>
        </w:tc>
      </w:tr>
      <w:tr>
        <w:tc>
          <w:tcPr>
            <w:tcW w:w="2232" w:type="dxa"/>
            <w:vAlign w:val="center"/>
          </w:tcPr>
          <w:p>
            <w:pPr>
              <w:pStyle w:val="TableText"/>
            </w:pPr>
            <w:r>
              <w:rPr>
                <w:rFonts w:ascii="Calibri" w:hAnsi="Calibri"/>
              </w:rPr>
              <w:t xml:space="preserve">Absence de recours</w:t>
            </w:r>
          </w:p>
        </w:tc>
        <w:tc>
          <w:tcPr>
            <w:tcW w:w="4032" w:type="dxa"/>
            <w:vAlign w:val="center"/>
          </w:tcPr>
          <w:p>
            <w:pPr>
              <w:pStyle w:val="TableText"/>
            </w:pPr>
            <w:r>
              <w:rPr>
                <w:rFonts w:ascii="Calibri" w:hAnsi="Calibri"/>
              </w:rPr>
              <w:t xml:space="preserve">Devoir réalisé sans ouvrir l'assistant, distingué d'une panne, d'un abandon ou d'une donnée manquante</w:t>
            </w:r>
          </w:p>
        </w:tc>
        <w:tc>
          <w:tcPr>
            <w:tcW w:w="3096" w:type="dxa"/>
            <w:vAlign w:val="center"/>
          </w:tcPr>
          <w:p>
            <w:pPr>
              <w:pStyle w:val="TableText"/>
            </w:pPr>
            <w:r>
              <w:rPr>
                <w:rFonts w:ascii="Calibri" w:hAnsi="Calibri"/>
              </w:rPr>
              <w:t xml:space="preserve">Autonomie potentielle à confirmer par la réussite</w:t>
            </w:r>
          </w:p>
        </w:tc>
      </w:tr>
      <w:tr>
        <w:tc>
          <w:tcPr>
            <w:tcW w:w="2232" w:type="dxa"/>
            <w:vAlign w:val="center"/>
          </w:tcPr>
          <w:p>
            <w:pPr>
              <w:pStyle w:val="TableText"/>
            </w:pPr>
            <w:r>
              <w:rPr>
                <w:rFonts w:ascii="Calibri" w:hAnsi="Calibri"/>
              </w:rPr>
              <w:t xml:space="preserve">Réussite maintenue</w:t>
            </w:r>
          </w:p>
        </w:tc>
        <w:tc>
          <w:tcPr>
            <w:tcW w:w="4032" w:type="dxa"/>
            <w:vAlign w:val="center"/>
          </w:tcPr>
          <w:p>
            <w:pPr>
              <w:pStyle w:val="TableText"/>
            </w:pPr>
            <w:r>
              <w:rPr>
                <w:rFonts w:ascii="Calibri" w:hAnsi="Calibri"/>
              </w:rPr>
              <w:t xml:space="preserve">Résultat aux items et à l'évaluation sans outil</w:t>
            </w:r>
          </w:p>
        </w:tc>
        <w:tc>
          <w:tcPr>
            <w:tcW w:w="3096" w:type="dxa"/>
            <w:vAlign w:val="center"/>
          </w:tcPr>
          <w:p>
            <w:pPr>
              <w:pStyle w:val="TableText"/>
            </w:pPr>
            <w:r>
              <w:rPr>
                <w:rFonts w:ascii="Calibri" w:hAnsi="Calibri"/>
              </w:rPr>
              <w:t xml:space="preserve">Condition nécessaire pour conclure à un désétayage</w:t>
            </w:r>
          </w:p>
        </w:tc>
      </w:tr>
      <w:tr>
        <w:tc>
          <w:tcPr>
            <w:tcW w:w="2232" w:type="dxa"/>
            <w:vAlign w:val="center"/>
          </w:tcPr>
          <w:p>
            <w:pPr>
              <w:pStyle w:val="TableText"/>
            </w:pPr>
            <w:r>
              <w:rPr>
                <w:rFonts w:ascii="Calibri" w:hAnsi="Calibri"/>
              </w:rPr>
              <w:t xml:space="preserve">Rapport mots élève / IA</w:t>
            </w:r>
          </w:p>
        </w:tc>
        <w:tc>
          <w:tcPr>
            <w:tcW w:w="4032" w:type="dxa"/>
            <w:vAlign w:val="center"/>
          </w:tcPr>
          <w:p>
            <w:pPr>
              <w:pStyle w:val="TableText"/>
            </w:pPr>
            <w:r>
              <w:rPr>
                <w:rFonts w:ascii="Calibri" w:hAnsi="Calibri"/>
              </w:rPr>
              <w:t xml:space="preserve">Mesure descriptive uniquement</w:t>
            </w:r>
          </w:p>
        </w:tc>
        <w:tc>
          <w:tcPr>
            <w:tcW w:w="3096" w:type="dxa"/>
            <w:vAlign w:val="center"/>
          </w:tcPr>
          <w:p>
            <w:pPr>
              <w:pStyle w:val="TableText"/>
            </w:pPr>
            <w:r>
              <w:rPr>
                <w:rFonts w:ascii="Calibri" w:hAnsi="Calibri"/>
              </w:rPr>
              <w:t xml:space="preserve">Ne constitue pas un ratio d'autonomie</w:t>
            </w:r>
          </w:p>
        </w:tc>
      </w:tr>
    </w:tbl>
    <w:p>
      <w:pPr>
        <w:spacing w:after="80"/>
      </w:pPr>
    </w:p>
    <w:p>
      <w:pPr>
        <w:pStyle w:val="Normal"/>
      </w:pPr>
      <w:r>
        <w:rPr>
          <w:rFonts w:ascii="Calibri" w:hAnsi="Calibri"/>
        </w:rPr>
        <w:t xml:space="preserve">Le désétayage est conclu uniquement si l'aide diminue et si la réussite ne diminue pas. Une baisse d'usage accompagnée d'un abandon ou d'une baisse de performance ne constitue pas un résultat positif.</w:t>
      </w:r>
    </w:p>
    <w:p>
      <w:pPr>
        <w:pStyle w:val="Heading2"/>
      </w:pPr>
      <w:r>
        <w:rPr>
          <w:rFonts w:ascii="Calibri" w:hAnsi="Calibri"/>
        </w:rPr>
        <w:t xml:space="preserve">7.3 Réalisation, qualité et fidélité</w:t>
      </w:r>
    </w:p>
    <w:p>
      <w:pPr>
        <w:pStyle w:val="ListText"/>
        <w:numPr>
          <w:ilvl w:val="0"/>
          <w:numId w:val="1"/>
        </w:numPr>
      </w:pPr>
      <w:r>
        <w:rPr>
          <w:rFonts w:ascii="Calibri" w:hAnsi="Calibri"/>
        </w:rPr>
        <w:t xml:space="preserve">Remise : oui, partielle ou non, avec motif technique séparé lorsque connu.</w:t>
      </w:r>
    </w:p>
    <w:p>
      <w:pPr>
        <w:pStyle w:val="ListText"/>
        <w:numPr>
          <w:ilvl w:val="0"/>
          <w:numId w:val="1"/>
        </w:numPr>
      </w:pPr>
      <w:r>
        <w:rPr>
          <w:rFonts w:ascii="Calibri" w:hAnsi="Calibri"/>
        </w:rPr>
        <w:t xml:space="preserve">Complétude : proportion d'items traités sur le nombre d'items attendus.</w:t>
      </w:r>
    </w:p>
    <w:p>
      <w:pPr>
        <w:pStyle w:val="ListText"/>
        <w:numPr>
          <w:ilvl w:val="0"/>
          <w:numId w:val="1"/>
        </w:numPr>
      </w:pPr>
      <w:r>
        <w:rPr>
          <w:rFonts w:ascii="Calibri" w:hAnsi="Calibri"/>
        </w:rPr>
        <w:t xml:space="preserve">Qualité de la production : grille commune à quatre niveaux, appliquée en aveugle. Au moins 30 % des copies sont évaluées par un second correcteur, avec estimation d'accord adaptée au caractère ordinal.</w:t>
      </w:r>
    </w:p>
    <w:p>
      <w:pPr>
        <w:pStyle w:val="ListText"/>
        <w:numPr>
          <w:ilvl w:val="0"/>
          <w:numId w:val="1"/>
        </w:numPr>
      </w:pPr>
      <w:r>
        <w:rPr>
          <w:rFonts w:ascii="Calibri" w:hAnsi="Calibri"/>
        </w:rPr>
        <w:t xml:space="preserve">Fidélité de l'assistant : respect du niveau annoncé, absence de réponse finale, exactitude pédagogique, pertinence et ton approprié.</w:t>
      </w:r>
    </w:p>
    <w:p>
      <w:pPr>
        <w:pStyle w:val="ListText"/>
        <w:numPr>
          <w:ilvl w:val="0"/>
          <w:numId w:val="1"/>
        </w:numPr>
      </w:pPr>
      <w:r>
        <w:rPr>
          <w:rFonts w:ascii="Calibri" w:hAnsi="Calibri"/>
        </w:rPr>
        <w:t xml:space="preserve">Indicateurs techniques : collage bloqué, saisie inhabituelle ou interruption. Ils restent exploratoires et ne prouvent ni fraude ni origine automatisée du texte.</w:t>
      </w:r>
    </w:p>
    <w:p>
      <w:pPr>
        <w:pStyle w:val="Heading2"/>
      </w:pPr>
      <w:r>
        <w:rPr>
          <w:rFonts w:ascii="Calibri" w:hAnsi="Calibri"/>
        </w:rPr>
        <w:t xml:space="preserve">7.4 Aides extérieures</w:t>
      </w:r>
    </w:p>
    <w:p>
      <w:pPr>
        <w:pStyle w:val="Normal"/>
      </w:pPr>
      <w:r>
        <w:rPr>
          <w:rFonts w:ascii="Calibri" w:hAnsi="Calibri"/>
        </w:rPr>
        <w:t xml:space="preserve">Après chaque devoir, chaque élève remplit un micro-questionnaire pseudonymisé et confidentiel, relié aux résultats par son identifiant de recherche. Il ne doit pas être qualifié d'anonyme si ce lien est conservé. Les réponses portent sur l'usage d'une IA extérieure, l'aide d'une personne et la difficulté perçue.</w:t>
      </w:r>
    </w:p>
    <w:p>
      <w:pPr>
        <w:pStyle w:val="Normal"/>
      </w:pPr>
      <w:r>
        <w:rPr>
          <w:rFonts w:ascii="Calibri" w:hAnsi="Calibri"/>
        </w:rPr>
        <w:t xml:space="preserve">L'analyse principale suit l'affectation aléatoire, quel que soit l'usage déclaré. Une analyse de sensibilité peut exclure ou décrire les usages importants d'une IA extérieure. Le sous-groupe « devoir habituel avec IA libre » est auto-sélectionné ; les comparaisons le concernant sont descriptives ou exploratoires, sans conclusion causale.</w:t>
      </w:r>
    </w:p>
    <w:p>
      <w:pPr>
        <w:pStyle w:val="Heading2"/>
      </w:pPr>
      <w:r>
        <w:rPr>
          <w:rFonts w:ascii="Calibri" w:hAnsi="Calibri"/>
        </w:rPr>
        <w:t xml:space="preserve">7.5 Questionnaires</w:t>
      </w:r>
    </w:p>
    <w:p>
      <w:pPr>
        <w:pStyle w:val="Normal"/>
      </w:pPr>
      <w:r>
        <w:rPr>
          <w:rFonts w:ascii="Calibri" w:hAnsi="Calibri"/>
        </w:rPr>
        <w:t xml:space="preserve">L'auto-efficacité face aux devoirs est mesurée au début de l'étude, à la fin de la période 1 et à la fin de la période 2. Les six items proposés sont testés lors du pilote pour leur compréhension et leur cohérence interne. La satisfaction et l'expérience utilisateur sont recueillies après la période d'accès à l'outil. Les enseignants déclarent le temps de préparation et de correction, la charge perçue et les incidents rencontrés.</w:t>
      </w:r>
    </w:p>
    <w:p>
      <w:pPr>
        <w:pStyle w:val="Heading1"/>
      </w:pPr>
      <w:r>
        <w:rPr>
          <w:rFonts w:ascii="Calibri" w:hAnsi="Calibri"/>
        </w:rPr>
        <w:t xml:space="preserve">8. Déroulement</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1800"/>
        <w:gridCol w:w="7560"/>
      </w:tblGrid>
      <w:tr>
        <w:trPr>
          <w:tblHeader/>
        </w:trPr>
        <w:tc>
          <w:tcPr>
            <w:tcW w:w="1800" w:type="dxa"/>
            <w:shd w:val="clear" w:color="auto" w:fill="F4F6F9"/>
            <w:vAlign w:val="center"/>
          </w:tcPr>
          <w:p>
            <w:pPr>
              <w:pStyle w:val="TableText"/>
            </w:pPr>
            <w:r>
              <w:rPr>
                <w:rFonts w:ascii="Calibri" w:hAnsi="Calibri"/>
                <w:b/>
              </w:rPr>
              <w:t xml:space="preserve">Période</w:t>
            </w:r>
          </w:p>
        </w:tc>
        <w:tc>
          <w:tcPr>
            <w:tcW w:w="7560" w:type="dxa"/>
            <w:shd w:val="clear" w:color="auto" w:fill="F4F6F9"/>
            <w:vAlign w:val="center"/>
          </w:tcPr>
          <w:p>
            <w:pPr>
              <w:pStyle w:val="TableText"/>
            </w:pPr>
            <w:r>
              <w:rPr>
                <w:rFonts w:ascii="Calibri" w:hAnsi="Calibri"/>
                <w:b/>
              </w:rPr>
              <w:t xml:space="preserve">Actions et jalons</w:t>
            </w:r>
          </w:p>
        </w:tc>
      </w:tr>
      <w:tr>
        <w:tc>
          <w:tcPr>
            <w:tcW w:w="1800" w:type="dxa"/>
            <w:vAlign w:val="center"/>
          </w:tcPr>
          <w:p>
            <w:pPr>
              <w:pStyle w:val="TableText"/>
            </w:pPr>
            <w:r>
              <w:rPr>
                <w:rFonts w:ascii="Calibri" w:hAnsi="Calibri"/>
              </w:rPr>
              <w:t xml:space="preserve">Sept. 2026</w:t>
            </w:r>
          </w:p>
        </w:tc>
        <w:tc>
          <w:tcPr>
            <w:tcW w:w="7560" w:type="dxa"/>
            <w:vAlign w:val="center"/>
          </w:tcPr>
          <w:p>
            <w:pPr>
              <w:pStyle w:val="TableText"/>
            </w:pPr>
            <w:r>
              <w:rPr>
                <w:rFonts w:ascii="Calibri" w:hAnsi="Calibri"/>
              </w:rPr>
              <w:t xml:space="preserve">Validation institutionnelle et scientifique ; consultation des DPD ; choix contractuel du fournisseur IA ; audit technique ; information des équipes et des familles.</w:t>
            </w:r>
          </w:p>
        </w:tc>
      </w:tr>
      <w:tr>
        <w:tc>
          <w:tcPr>
            <w:tcW w:w="1800" w:type="dxa"/>
            <w:vAlign w:val="center"/>
          </w:tcPr>
          <w:p>
            <w:pPr>
              <w:pStyle w:val="TableText"/>
            </w:pPr>
            <w:r>
              <w:rPr>
                <w:rFonts w:ascii="Calibri" w:hAnsi="Calibri"/>
              </w:rPr>
              <w:t xml:space="preserve">Fin sept.</w:t>
            </w:r>
          </w:p>
        </w:tc>
        <w:tc>
          <w:tcPr>
            <w:tcW w:w="7560" w:type="dxa"/>
            <w:vAlign w:val="center"/>
          </w:tcPr>
          <w:p>
            <w:pPr>
              <w:pStyle w:val="TableText"/>
            </w:pPr>
            <w:r>
              <w:rPr>
                <w:rFonts w:ascii="Calibri" w:hAnsi="Calibri"/>
              </w:rPr>
              <w:t xml:space="preserve">Pilote de deux devoirs hors analyse principale ; vérification des instruments, exports, durées, garde-fous et procédures d'assistance.</w:t>
            </w:r>
          </w:p>
        </w:tc>
      </w:tr>
      <w:tr>
        <w:tc>
          <w:tcPr>
            <w:tcW w:w="1800" w:type="dxa"/>
            <w:vAlign w:val="center"/>
          </w:tcPr>
          <w:p>
            <w:pPr>
              <w:pStyle w:val="TableText"/>
            </w:pPr>
            <w:r>
              <w:rPr>
                <w:rFonts w:ascii="Calibri" w:hAnsi="Calibri"/>
              </w:rPr>
              <w:t xml:space="preserve">Début oct.</w:t>
            </w:r>
          </w:p>
        </w:tc>
        <w:tc>
          <w:tcPr>
            <w:tcW w:w="7560" w:type="dxa"/>
            <w:vAlign w:val="center"/>
          </w:tcPr>
          <w:p>
            <w:pPr>
              <w:pStyle w:val="TableText"/>
            </w:pPr>
            <w:r>
              <w:rPr>
                <w:rFonts w:ascii="Calibri" w:hAnsi="Calibri"/>
              </w:rPr>
              <w:t xml:space="preserve">Diagnostic ; questionnaire initial ; séance commune ; randomisation documentée ; pré-enregistrement avant la première collecte principale.</w:t>
            </w:r>
          </w:p>
        </w:tc>
      </w:tr>
      <w:tr>
        <w:tc>
          <w:tcPr>
            <w:tcW w:w="1800" w:type="dxa"/>
            <w:vAlign w:val="center"/>
          </w:tcPr>
          <w:p>
            <w:pPr>
              <w:pStyle w:val="TableText"/>
            </w:pPr>
            <w:r>
              <w:rPr>
                <w:rFonts w:ascii="Calibri" w:hAnsi="Calibri"/>
              </w:rPr>
              <w:t xml:space="preserve">Oct.-déc.</w:t>
            </w:r>
          </w:p>
        </w:tc>
        <w:tc>
          <w:tcPr>
            <w:tcW w:w="7560" w:type="dxa"/>
            <w:vAlign w:val="center"/>
          </w:tcPr>
          <w:p>
            <w:pPr>
              <w:pStyle w:val="TableText"/>
            </w:pPr>
            <w:r>
              <w:rPr>
                <w:rFonts w:ascii="Calibri" w:hAnsi="Calibri"/>
              </w:rPr>
              <w:t xml:space="preserve">Période 1 : 4 à 5 devoirs et évaluations sans assistant ; extraction régulière ; contrôle qualité sans test confirmatoire intermédiaire.</w:t>
            </w:r>
          </w:p>
        </w:tc>
      </w:tr>
      <w:tr>
        <w:tc>
          <w:tcPr>
            <w:tcW w:w="1800" w:type="dxa"/>
            <w:vAlign w:val="center"/>
          </w:tcPr>
          <w:p>
            <w:pPr>
              <w:pStyle w:val="TableText"/>
            </w:pPr>
            <w:r>
              <w:rPr>
                <w:rFonts w:ascii="Calibri" w:hAnsi="Calibri"/>
              </w:rPr>
              <w:t xml:space="preserve">Janvier</w:t>
            </w:r>
          </w:p>
        </w:tc>
        <w:tc>
          <w:tcPr>
            <w:tcW w:w="7560" w:type="dxa"/>
            <w:vAlign w:val="center"/>
          </w:tcPr>
          <w:p>
            <w:pPr>
              <w:pStyle w:val="TableText"/>
            </w:pPr>
            <w:r>
              <w:rPr>
                <w:rFonts w:ascii="Calibri" w:hAnsi="Calibri"/>
              </w:rPr>
              <w:t xml:space="preserve">Bilan de qualité et de faisabilité ; changement planifié de modalité ; aucun ajustement des hypothèses en fonction des résultats non aveuglés.</w:t>
            </w:r>
          </w:p>
        </w:tc>
      </w:tr>
      <w:tr>
        <w:tc>
          <w:tcPr>
            <w:tcW w:w="1800" w:type="dxa"/>
            <w:vAlign w:val="center"/>
          </w:tcPr>
          <w:p>
            <w:pPr>
              <w:pStyle w:val="TableText"/>
            </w:pPr>
            <w:r>
              <w:rPr>
                <w:rFonts w:ascii="Calibri" w:hAnsi="Calibri"/>
              </w:rPr>
              <w:t xml:space="preserve">Janv.-mars</w:t>
            </w:r>
          </w:p>
        </w:tc>
        <w:tc>
          <w:tcPr>
            <w:tcW w:w="7560" w:type="dxa"/>
            <w:vAlign w:val="center"/>
          </w:tcPr>
          <w:p>
            <w:pPr>
              <w:pStyle w:val="TableText"/>
            </w:pPr>
            <w:r>
              <w:rPr>
                <w:rFonts w:ascii="Calibri" w:hAnsi="Calibri"/>
              </w:rPr>
              <w:t xml:space="preserve">Période 2 : accès de l'ancien groupe témoin ; étude de réplication et de persistance ; 4 à 5 devoirs et évaluations.</w:t>
            </w:r>
          </w:p>
        </w:tc>
      </w:tr>
      <w:tr>
        <w:tc>
          <w:tcPr>
            <w:tcW w:w="1800" w:type="dxa"/>
            <w:vAlign w:val="center"/>
          </w:tcPr>
          <w:p>
            <w:pPr>
              <w:pStyle w:val="TableText"/>
            </w:pPr>
            <w:r>
              <w:rPr>
                <w:rFonts w:ascii="Calibri" w:hAnsi="Calibri"/>
              </w:rPr>
              <w:t xml:space="preserve">Fin mars</w:t>
            </w:r>
          </w:p>
        </w:tc>
        <w:tc>
          <w:tcPr>
            <w:tcW w:w="7560" w:type="dxa"/>
            <w:vAlign w:val="center"/>
          </w:tcPr>
          <w:p>
            <w:pPr>
              <w:pStyle w:val="TableText"/>
            </w:pPr>
            <w:r>
              <w:rPr>
                <w:rFonts w:ascii="Calibri" w:hAnsi="Calibri"/>
              </w:rPr>
              <w:t xml:space="preserve">Questionnaires finaux ; entretiens enseignants ; gel et documentation de la base.</w:t>
            </w:r>
          </w:p>
        </w:tc>
      </w:tr>
      <w:tr>
        <w:tc>
          <w:tcPr>
            <w:tcW w:w="1800" w:type="dxa"/>
            <w:vAlign w:val="center"/>
          </w:tcPr>
          <w:p>
            <w:pPr>
              <w:pStyle w:val="TableText"/>
            </w:pPr>
            <w:r>
              <w:rPr>
                <w:rFonts w:ascii="Calibri" w:hAnsi="Calibri"/>
              </w:rPr>
              <w:t xml:space="preserve">Avril 2027</w:t>
            </w:r>
          </w:p>
        </w:tc>
        <w:tc>
          <w:tcPr>
            <w:tcW w:w="7560" w:type="dxa"/>
            <w:vAlign w:val="center"/>
          </w:tcPr>
          <w:p>
            <w:pPr>
              <w:pStyle w:val="TableText"/>
            </w:pPr>
            <w:r>
              <w:rPr>
                <w:rFonts w:ascii="Calibri" w:hAnsi="Calibri"/>
              </w:rPr>
              <w:t xml:space="preserve">Analyses ; rapport ; dossier Chercheurs en Actes selon le calendrier officiel de la 8e édition.</w:t>
            </w:r>
          </w:p>
        </w:tc>
      </w:tr>
    </w:tbl>
    <w:p>
      <w:pPr>
        <w:spacing w:after="80"/>
      </w:pPr>
    </w:p>
    <w:p>
      <w:pPr>
        <w:pStyle w:val="Heading1"/>
      </w:pPr>
      <w:r>
        <w:rPr>
          <w:rFonts w:ascii="Calibri" w:hAnsi="Calibri"/>
        </w:rPr>
        <w:t xml:space="preserve">9. Plan d'analyse</w:t>
      </w:r>
    </w:p>
    <w:p>
      <w:pPr>
        <w:pStyle w:val="Heading2"/>
      </w:pPr>
      <w:r>
        <w:rPr>
          <w:rFonts w:ascii="Calibri" w:hAnsi="Calibri"/>
        </w:rPr>
        <w:t xml:space="preserve">9.1 Principes</w:t>
      </w:r>
    </w:p>
    <w:p>
      <w:pPr>
        <w:pStyle w:val="ListText"/>
        <w:numPr>
          <w:ilvl w:val="0"/>
          <w:numId w:val="1"/>
        </w:numPr>
      </w:pPr>
      <w:r>
        <w:rPr>
          <w:rFonts w:ascii="Calibri" w:hAnsi="Calibri"/>
        </w:rPr>
        <w:t xml:space="preserve">Analyse principale en intention de traiter, selon le groupe attribué, sur la période 1.</w:t>
      </w:r>
    </w:p>
    <w:p>
      <w:pPr>
        <w:pStyle w:val="ListText"/>
        <w:numPr>
          <w:ilvl w:val="0"/>
          <w:numId w:val="1"/>
        </w:numPr>
      </w:pPr>
      <w:r>
        <w:rPr>
          <w:rFonts w:ascii="Calibri" w:hAnsi="Calibri"/>
        </w:rPr>
        <w:t xml:space="preserve">Seuil bilatéral alpha = 0,05 pour H1, avec taille d'effet et intervalle de confiance à 95 %.</w:t>
      </w:r>
    </w:p>
    <w:p>
      <w:pPr>
        <w:pStyle w:val="ListText"/>
        <w:numPr>
          <w:ilvl w:val="0"/>
          <w:numId w:val="1"/>
        </w:numPr>
      </w:pPr>
      <w:r>
        <w:rPr>
          <w:rFonts w:ascii="Calibri" w:hAnsi="Calibri"/>
        </w:rPr>
        <w:t xml:space="preserve">Correction de Holm pour les tests secondaires confirmatoires. Les analyses exploratoires sont clairement identifiées.</w:t>
      </w:r>
    </w:p>
    <w:p>
      <w:pPr>
        <w:pStyle w:val="ListText"/>
        <w:numPr>
          <w:ilvl w:val="0"/>
          <w:numId w:val="1"/>
        </w:numPr>
      </w:pPr>
      <w:r>
        <w:rPr>
          <w:rFonts w:ascii="Calibri" w:hAnsi="Calibri"/>
        </w:rPr>
        <w:t xml:space="preserve">Flux complet des participants, données manquantes, pannes et déviations présentés par groupe et par période.</w:t>
      </w:r>
    </w:p>
    <w:p>
      <w:pPr>
        <w:pStyle w:val="ListText"/>
        <w:numPr>
          <w:ilvl w:val="0"/>
          <w:numId w:val="1"/>
        </w:numPr>
      </w:pPr>
      <w:r>
        <w:rPr>
          <w:rFonts w:ascii="Calibri" w:hAnsi="Calibri"/>
        </w:rPr>
        <w:t xml:space="preserve">Code d'analyse écrit et, si possible, revu avant levée de l'aveugle sur les groupes.</w:t>
      </w:r>
    </w:p>
    <w:p>
      <w:pPr>
        <w:pStyle w:val="Heading2"/>
      </w:pPr>
      <w:r>
        <w:rPr>
          <w:rFonts w:ascii="Calibri" w:hAnsi="Calibri"/>
        </w:rPr>
        <w:t xml:space="preserve">9.2 Modèles prévus</w:t>
      </w:r>
    </w:p>
    <w:p>
      <w:pPr>
        <w:pStyle w:val="Normal"/>
      </w:pPr>
      <w:r>
        <w:rPr>
          <w:rFonts w:ascii="Calibri" w:hAnsi="Calibri"/>
          <w:b/>
        </w:rPr>
        <w:t xml:space="preserve">H1. </w:t>
      </w:r>
      <w:r>
        <w:rPr>
          <w:rFonts w:ascii="Calibri" w:hAnsi="Calibri"/>
        </w:rPr>
        <w:t xml:space="preserve">Modèle linéaire mixte sur les scores standardisés de période 1, avec condition, score diagnostique, rang du devoir et voie comme effets fixes ; intercepts aléatoires pour l'élève et pour l'évaluation au sein du contexte. La structure définitive est validée par le statisticien en fonction des données et de l'effectif réel.</w:t>
      </w:r>
    </w:p>
    <w:p>
      <w:pPr>
        <w:pStyle w:val="Normal"/>
      </w:pPr>
      <w:r>
        <w:rPr>
          <w:rFonts w:ascii="Calibri" w:hAnsi="Calibri"/>
          <w:b/>
        </w:rPr>
        <w:t xml:space="preserve">H2. </w:t>
      </w:r>
      <w:r>
        <w:rPr>
          <w:rFonts w:ascii="Calibri" w:hAnsi="Calibri"/>
        </w:rPr>
        <w:t xml:space="preserve">Modèles mixtes distincts pour le niveau maximal requis, la dose d'aide et la résolution au niveau 1, avec rang, difficulté calibrée, voie et réussite. Une conclusion positive exige une trajectoire d'aide décroissante avec performance maintenue.</w:t>
      </w:r>
    </w:p>
    <w:p>
      <w:pPr>
        <w:pStyle w:val="Normal"/>
      </w:pPr>
      <w:r>
        <w:rPr>
          <w:rFonts w:ascii="Calibri" w:hAnsi="Calibri"/>
          <w:b/>
        </w:rPr>
        <w:t xml:space="preserve">H3. </w:t>
      </w:r>
      <w:r>
        <w:rPr>
          <w:rFonts w:ascii="Calibri" w:hAnsi="Calibri"/>
        </w:rPr>
        <w:t xml:space="preserve">Régression logistique mixte pour la remise, et modèle adapté à la proportion de complétude.</w:t>
      </w:r>
    </w:p>
    <w:p>
      <w:pPr>
        <w:pStyle w:val="Normal"/>
      </w:pPr>
      <w:r>
        <w:rPr>
          <w:rFonts w:ascii="Calibri" w:hAnsi="Calibri"/>
          <w:b/>
        </w:rPr>
        <w:t xml:space="preserve">H4. </w:t>
      </w:r>
      <w:r>
        <w:rPr>
          <w:rFonts w:ascii="Calibri" w:hAnsi="Calibri"/>
        </w:rPr>
        <w:t xml:space="preserve">Modèle ordinal mixte pour la grille de qualité et statistiques d'accord inter-juges. L'audit de fidélité est présenté avec intervalles de confiance.</w:t>
      </w:r>
    </w:p>
    <w:p>
      <w:pPr>
        <w:pStyle w:val="Normal"/>
      </w:pPr>
      <w:r>
        <w:rPr>
          <w:rFonts w:ascii="Calibri" w:hAnsi="Calibri"/>
          <w:b/>
        </w:rPr>
        <w:t xml:space="preserve">H5. </w:t>
      </w:r>
      <w:r>
        <w:rPr>
          <w:rFonts w:ascii="Calibri" w:hAnsi="Calibri"/>
        </w:rPr>
        <w:t xml:space="preserve">Modèle post-ajusté-sur-pré à la fin de chaque période, avec trajectoire descriptive de la charge enseignante.</w:t>
      </w:r>
    </w:p>
    <w:p>
      <w:pPr>
        <w:pStyle w:val="Normal"/>
      </w:pPr>
      <w:r>
        <w:rPr>
          <w:rFonts w:ascii="Calibri" w:hAnsi="Calibri"/>
          <w:b/>
        </w:rPr>
        <w:t xml:space="preserve">H6. </w:t>
      </w:r>
      <w:r>
        <w:rPr>
          <w:rFonts w:ascii="Calibri" w:hAnsi="Calibri"/>
        </w:rPr>
        <w:t xml:space="preserve">Interactions condition par voie et condition par aménagement uniquement si les effectifs le permettent.</w:t>
      </w:r>
    </w:p>
    <w:p>
      <w:pPr>
        <w:pStyle w:val="Normal"/>
      </w:pPr>
      <w:r>
        <w:rPr>
          <w:rFonts w:ascii="Calibri" w:hAnsi="Calibri"/>
          <w:b/>
        </w:rPr>
        <w:t xml:space="preserve">H7. </w:t>
      </w:r>
      <w:r>
        <w:rPr>
          <w:rFonts w:ascii="Calibri" w:hAnsi="Calibri"/>
        </w:rPr>
        <w:t xml:space="preserve">Analyse descriptive et modélisée des résultats du groupe A après retrait de l'outil, en évitant de qualifier la période 2 de témoin vierge.</w:t>
      </w:r>
    </w:p>
    <w:p>
      <w:pPr>
        <w:pStyle w:val="Heading2"/>
      </w:pPr>
      <w:r>
        <w:rPr>
          <w:rFonts w:ascii="Calibri" w:hAnsi="Calibri"/>
        </w:rPr>
        <w:t xml:space="preserve">9.3 Données manquantes et analyses de sensibilité</w:t>
      </w:r>
    </w:p>
    <w:p>
      <w:pPr>
        <w:pStyle w:val="Normal"/>
      </w:pPr>
      <w:r>
        <w:rPr>
          <w:rFonts w:ascii="Calibri" w:hAnsi="Calibri"/>
        </w:rPr>
        <w:t xml:space="preserve">Les raisons de non-remise et d'absence à l'évaluation sont codées lorsqu'elles sont connues. Le protocole précise avant l'analyse le traitement des absences, la règle de minimum d'observations et, si nécessaire, les méthodes d'imputation. Les analyses de sensibilité examinent l'effet des pannes, de l'usage déclaré d'une IA extérieure et des déviations majeures, sans remplacer l'analyse en intention de traiter.</w:t>
      </w:r>
    </w:p>
    <w:p>
      <w:pPr>
        <w:pStyle w:val="Heading1"/>
      </w:pPr>
      <w:r>
        <w:rPr>
          <w:rFonts w:ascii="Calibri" w:hAnsi="Calibri"/>
        </w:rPr>
        <w:t xml:space="preserve">10. Éthique, protection des données et gouvernance</w:t>
      </w:r>
    </w:p>
    <w:p>
      <w:pPr>
        <w:pStyle w:val="Normal"/>
      </w:pPr>
      <w:r>
        <w:rPr>
          <w:rFonts w:ascii="Calibri" w:hAnsi="Calibri"/>
        </w:rPr>
        <w:t xml:space="preserve">La recherche implique des mineurs et des données scolaires. Le responsable du traitement, la base juridique, les rôles du laboratoire, de l'établissement et de FANALIO, ainsi que les modalités d'information, d'autorisation et d'assentiment sont arrêtés avec les autorités compétentes avant toute collecte. Le retrait de l'étude n'entraîne aucune conséquence scolaire.</w:t>
      </w:r>
    </w:p>
    <w:p>
      <w:pPr>
        <w:pStyle w:val="Normal"/>
      </w:pPr>
      <w:r>
        <w:rPr>
          <w:rFonts w:ascii="Calibri" w:hAnsi="Calibri"/>
        </w:rPr>
        <w:t xml:space="preserve">Les identifiants de recherche sont distincts des identifiants de connexion. La table de correspondance est chiffrée, conservée séparément et accessible aux seules personnes autorisées. Les données sont minimisées, les accès journalisés et les durées de conservation justifiées. Les informations relatives à un PAP, un PPS ou à la santé ne sont utilisées que si cela est nécessaire, autorisé et explicitement documenté.</w:t>
      </w:r>
    </w:p>
    <w:p>
      <w:pPr>
        <w:pStyle w:val="Normal"/>
      </w:pPr>
      <w:r>
        <w:rPr>
          <w:rFonts w:ascii="Calibri" w:hAnsi="Calibri"/>
        </w:rPr>
        <w:t xml:space="preserve">Les données pseudonymisées restent des données personnelles. Les scripts, le dictionnaire des variables et les résultats agrégés peuvent être diffusés ouvertement. Les données individuelles ne sont publiées qu'après anonymisation robuste ; à défaut, elles sont partagées sous accès contrôlé.</w:t>
      </w:r>
    </w:p>
    <w:p>
      <w:pPr>
        <w:pStyle w:val="Normal"/>
      </w:pPr>
      <w:r>
        <w:rPr>
          <w:rFonts w:ascii="Calibri" w:hAnsi="Calibri"/>
        </w:rPr>
        <w:t xml:space="preserve">L'interface indique clairement que l'élève dialogue avec une intelligence artificielle. Les sorties ne servent pas à prendre automatiquement une décision scolaire. Les indicateurs techniques ne sont ni affichés comme preuve de fraude, ni utilisés pour sanctionner.</w:t>
      </w:r>
    </w:p>
    <w:p>
      <w:pPr>
        <w:pStyle w:val="Callout"/>
      </w:pPr>
      <w:r>
        <w:rPr>
          <w:rFonts w:ascii="Calibri" w:hAnsi="Calibri"/>
          <w:b/>
        </w:rPr>
        <w:t xml:space="preserve">Fournisseur IA : </w:t>
      </w:r>
      <w:r>
        <w:rPr>
          <w:rFonts w:ascii="Calibri" w:hAnsi="Calibri"/>
        </w:rPr>
        <w:t xml:space="preserve">au 12 septembre 2026, les conditions de Gemini API interdisent d'intégrer le service dans une application destinée ou susceptible d'être accessible aux moins de 18 ans. Le code expérimental doit utiliser un service et un cadre contractuel compatibles avec les mineurs, la protection des données et la localisation retenue. Le recours éventuel à Vertex AI ou à un autre fournisseur doit être vérifié contractuellement ; il n'est pas considéré comme conforme par simple changement de nom.</w:t>
      </w:r>
    </w:p>
    <w:p>
      <w:pPr>
        <w:pStyle w:val="Heading1"/>
      </w:pPr>
      <w:r>
        <w:rPr>
          <w:rFonts w:ascii="Calibri" w:hAnsi="Calibri"/>
        </w:rPr>
        <w:t xml:space="preserve">11. Risques, parades et règles d'arrêt</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3096"/>
        <w:gridCol w:w="6264"/>
      </w:tblGrid>
      <w:tr>
        <w:trPr>
          <w:tblHeader/>
        </w:trPr>
        <w:tc>
          <w:tcPr>
            <w:tcW w:w="3096" w:type="dxa"/>
            <w:shd w:val="clear" w:color="auto" w:fill="F4F6F9"/>
            <w:vAlign w:val="center"/>
          </w:tcPr>
          <w:p>
            <w:pPr>
              <w:pStyle w:val="TableText"/>
            </w:pPr>
            <w:r>
              <w:rPr>
                <w:rFonts w:ascii="Calibri" w:hAnsi="Calibri"/>
                <w:b/>
              </w:rPr>
              <w:t xml:space="preserve">Risque</w:t>
            </w:r>
          </w:p>
        </w:tc>
        <w:tc>
          <w:tcPr>
            <w:tcW w:w="6264" w:type="dxa"/>
            <w:shd w:val="clear" w:color="auto" w:fill="F4F6F9"/>
            <w:vAlign w:val="center"/>
          </w:tcPr>
          <w:p>
            <w:pPr>
              <w:pStyle w:val="TableText"/>
            </w:pPr>
            <w:r>
              <w:rPr>
                <w:rFonts w:ascii="Calibri" w:hAnsi="Calibri"/>
                <w:b/>
              </w:rPr>
              <w:t xml:space="preserve">Parade ou décision</w:t>
            </w:r>
          </w:p>
        </w:tc>
      </w:tr>
      <w:tr>
        <w:tc>
          <w:tcPr>
            <w:tcW w:w="3096" w:type="dxa"/>
            <w:vAlign w:val="center"/>
          </w:tcPr>
          <w:p>
            <w:pPr>
              <w:pStyle w:val="TableText"/>
            </w:pPr>
            <w:r>
              <w:rPr>
                <w:rFonts w:ascii="Calibri" w:hAnsi="Calibri"/>
              </w:rPr>
              <w:t xml:space="preserve">Persistance après la période 1</w:t>
            </w:r>
          </w:p>
        </w:tc>
        <w:tc>
          <w:tcPr>
            <w:tcW w:w="6264" w:type="dxa"/>
            <w:vAlign w:val="center"/>
          </w:tcPr>
          <w:p>
            <w:pPr>
              <w:pStyle w:val="TableText"/>
            </w:pPr>
            <w:r>
              <w:rPr>
                <w:rFonts w:ascii="Calibri" w:hAnsi="Calibri"/>
              </w:rPr>
              <w:t xml:space="preserve">Analyse principale limitée à P1 ; P2 consacrée à la réplication et à la persistance.</w:t>
            </w:r>
          </w:p>
        </w:tc>
      </w:tr>
      <w:tr>
        <w:tc>
          <w:tcPr>
            <w:tcW w:w="3096" w:type="dxa"/>
            <w:vAlign w:val="center"/>
          </w:tcPr>
          <w:p>
            <w:pPr>
              <w:pStyle w:val="TableText"/>
            </w:pPr>
            <w:r>
              <w:rPr>
                <w:rFonts w:ascii="Calibri" w:hAnsi="Calibri"/>
              </w:rPr>
              <w:t xml:space="preserve">Contamination entre élèves</w:t>
            </w:r>
          </w:p>
        </w:tc>
        <w:tc>
          <w:tcPr>
            <w:tcW w:w="6264" w:type="dxa"/>
            <w:vAlign w:val="center"/>
          </w:tcPr>
          <w:p>
            <w:pPr>
              <w:pStyle w:val="TableText"/>
            </w:pPr>
            <w:r>
              <w:rPr>
                <w:rFonts w:ascii="Calibri" w:hAnsi="Calibri"/>
              </w:rPr>
              <w:t xml:space="preserve">Consignes communes, rappel de confidentialité, mesure des aides extérieures et documentation des échanges connus.</w:t>
            </w:r>
          </w:p>
        </w:tc>
      </w:tr>
      <w:tr>
        <w:tc>
          <w:tcPr>
            <w:tcW w:w="3096" w:type="dxa"/>
            <w:vAlign w:val="center"/>
          </w:tcPr>
          <w:p>
            <w:pPr>
              <w:pStyle w:val="TableText"/>
            </w:pPr>
            <w:r>
              <w:rPr>
                <w:rFonts w:ascii="Calibri" w:hAnsi="Calibri"/>
              </w:rPr>
              <w:t xml:space="preserve">Tâches de difficulté variable</w:t>
            </w:r>
          </w:p>
        </w:tc>
        <w:tc>
          <w:tcPr>
            <w:tcW w:w="6264" w:type="dxa"/>
            <w:vAlign w:val="center"/>
          </w:tcPr>
          <w:p>
            <w:pPr>
              <w:pStyle w:val="TableText"/>
            </w:pPr>
            <w:r>
              <w:rPr>
                <w:rFonts w:ascii="Calibri" w:hAnsi="Calibri"/>
              </w:rPr>
              <w:t xml:space="preserve">Items repères, calibration a priori indépendante de la performance post-intervention et effets d'évaluation dans les modèles.</w:t>
            </w:r>
          </w:p>
        </w:tc>
      </w:tr>
      <w:tr>
        <w:tc>
          <w:tcPr>
            <w:tcW w:w="3096" w:type="dxa"/>
            <w:vAlign w:val="center"/>
          </w:tcPr>
          <w:p>
            <w:pPr>
              <w:pStyle w:val="TableText"/>
            </w:pPr>
            <w:r>
              <w:rPr>
                <w:rFonts w:ascii="Calibri" w:hAnsi="Calibri"/>
              </w:rPr>
              <w:t xml:space="preserve">Baisse d'usage confondue avec l'abandon</w:t>
            </w:r>
          </w:p>
        </w:tc>
        <w:tc>
          <w:tcPr>
            <w:tcW w:w="6264" w:type="dxa"/>
            <w:vAlign w:val="center"/>
          </w:tcPr>
          <w:p>
            <w:pPr>
              <w:pStyle w:val="TableText"/>
            </w:pPr>
            <w:r>
              <w:rPr>
                <w:rFonts w:ascii="Calibri" w:hAnsi="Calibri"/>
              </w:rPr>
              <w:t xml:space="preserve">Conclusion de désétayage conditionnée au maintien de la réussite.</w:t>
            </w:r>
          </w:p>
        </w:tc>
      </w:tr>
      <w:tr>
        <w:tc>
          <w:tcPr>
            <w:tcW w:w="3096" w:type="dxa"/>
            <w:vAlign w:val="center"/>
          </w:tcPr>
          <w:p>
            <w:pPr>
              <w:pStyle w:val="TableText"/>
            </w:pPr>
            <w:r>
              <w:rPr>
                <w:rFonts w:ascii="Calibri" w:hAnsi="Calibri"/>
              </w:rPr>
              <w:t xml:space="preserve">Réponses finales ou erreurs de l'assistant</w:t>
            </w:r>
          </w:p>
        </w:tc>
        <w:tc>
          <w:tcPr>
            <w:tcW w:w="6264" w:type="dxa"/>
            <w:vAlign w:val="center"/>
          </w:tcPr>
          <w:p>
            <w:pPr>
              <w:pStyle w:val="TableText"/>
            </w:pPr>
            <w:r>
              <w:rPr>
                <w:rFonts w:ascii="Calibri" w:hAnsi="Calibri"/>
              </w:rPr>
              <w:t xml:space="preserve">Audit de fidélité, garde-fous testés et procédure de signalement ; suspension si le taux de violations dépasse le seuil pré-enregistré.</w:t>
            </w:r>
          </w:p>
        </w:tc>
      </w:tr>
      <w:tr>
        <w:tc>
          <w:tcPr>
            <w:tcW w:w="3096" w:type="dxa"/>
            <w:vAlign w:val="center"/>
          </w:tcPr>
          <w:p>
            <w:pPr>
              <w:pStyle w:val="TableText"/>
            </w:pPr>
            <w:r>
              <w:rPr>
                <w:rFonts w:ascii="Calibri" w:hAnsi="Calibri"/>
              </w:rPr>
              <w:t xml:space="preserve">Panne ou absence de connexion</w:t>
            </w:r>
          </w:p>
        </w:tc>
        <w:tc>
          <w:tcPr>
            <w:tcW w:w="6264" w:type="dxa"/>
            <w:vAlign w:val="center"/>
          </w:tcPr>
          <w:p>
            <w:pPr>
              <w:pStyle w:val="TableText"/>
            </w:pPr>
            <w:r>
              <w:rPr>
                <w:rFonts w:ascii="Calibri" w:hAnsi="Calibri"/>
              </w:rPr>
              <w:t xml:space="preserve">Accès encadré au CDI ou en salle informatique ; incident codé séparément ; analyse de sensibilité.</w:t>
            </w:r>
          </w:p>
        </w:tc>
      </w:tr>
      <w:tr>
        <w:tc>
          <w:tcPr>
            <w:tcW w:w="3096" w:type="dxa"/>
            <w:vAlign w:val="center"/>
          </w:tcPr>
          <w:p>
            <w:pPr>
              <w:pStyle w:val="TableText"/>
            </w:pPr>
            <w:r>
              <w:rPr>
                <w:rFonts w:ascii="Calibri" w:hAnsi="Calibri"/>
              </w:rPr>
              <w:t xml:space="preserve">Charge excessive pour les enseignants</w:t>
            </w:r>
          </w:p>
        </w:tc>
        <w:tc>
          <w:tcPr>
            <w:tcW w:w="6264" w:type="dxa"/>
            <w:vAlign w:val="center"/>
          </w:tcPr>
          <w:p>
            <w:pPr>
              <w:pStyle w:val="TableText"/>
            </w:pPr>
            <w:r>
              <w:rPr>
                <w:rFonts w:ascii="Calibri" w:hAnsi="Calibri"/>
              </w:rPr>
              <w:t xml:space="preserve">Pilote, instruments courts, extraction automatisée et possibilité de réduire le nombre de devoirs avant pré-enregistrement.</w:t>
            </w:r>
          </w:p>
        </w:tc>
      </w:tr>
      <w:tr>
        <w:tc>
          <w:tcPr>
            <w:tcW w:w="3096" w:type="dxa"/>
            <w:vAlign w:val="center"/>
          </w:tcPr>
          <w:p>
            <w:pPr>
              <w:pStyle w:val="TableText"/>
            </w:pPr>
            <w:r>
              <w:rPr>
                <w:rFonts w:ascii="Calibri" w:hAnsi="Calibri"/>
              </w:rPr>
              <w:t xml:space="preserve">Cadre juridique non validé</w:t>
            </w:r>
          </w:p>
        </w:tc>
        <w:tc>
          <w:tcPr>
            <w:tcW w:w="6264" w:type="dxa"/>
            <w:vAlign w:val="center"/>
          </w:tcPr>
          <w:p>
            <w:pPr>
              <w:pStyle w:val="TableText"/>
            </w:pPr>
            <w:r>
              <w:rPr>
                <w:rFonts w:ascii="Calibri" w:hAnsi="Calibri"/>
              </w:rPr>
              <w:t xml:space="preserve">Aucune collecte et aucun accès élève à l'assistant tant que le fournisseur, les DPD et les responsabilités ne sont pas validés.</w:t>
            </w:r>
          </w:p>
        </w:tc>
      </w:tr>
      <w:tr>
        <w:tc>
          <w:tcPr>
            <w:tcW w:w="3096" w:type="dxa"/>
            <w:vAlign w:val="center"/>
          </w:tcPr>
          <w:p>
            <w:pPr>
              <w:pStyle w:val="TableText"/>
            </w:pPr>
            <w:r>
              <w:rPr>
                <w:rFonts w:ascii="Calibri" w:hAnsi="Calibri"/>
              </w:rPr>
              <w:t xml:space="preserve">Évolution technique en cours d'étude</w:t>
            </w:r>
          </w:p>
        </w:tc>
        <w:tc>
          <w:tcPr>
            <w:tcW w:w="6264" w:type="dxa"/>
            <w:vAlign w:val="center"/>
          </w:tcPr>
          <w:p>
            <w:pPr>
              <w:pStyle w:val="TableText"/>
            </w:pPr>
            <w:r>
              <w:rPr>
                <w:rFonts w:ascii="Calibri" w:hAnsi="Calibri"/>
              </w:rPr>
              <w:t xml:space="preserve">Gel par période ; journal des versions ; amendement et analyse de sensibilité en cas de changement nécessaire.</w:t>
            </w:r>
          </w:p>
        </w:tc>
      </w:tr>
      <w:tr>
        <w:tc>
          <w:tcPr>
            <w:tcW w:w="3096" w:type="dxa"/>
            <w:vAlign w:val="center"/>
          </w:tcPr>
          <w:p>
            <w:pPr>
              <w:pStyle w:val="TableText"/>
            </w:pPr>
            <w:r>
              <w:rPr>
                <w:rFonts w:ascii="Calibri" w:hAnsi="Calibri"/>
              </w:rPr>
              <w:t xml:space="preserve">Réidentification lors du partage</w:t>
            </w:r>
          </w:p>
        </w:tc>
        <w:tc>
          <w:tcPr>
            <w:tcW w:w="6264" w:type="dxa"/>
            <w:vAlign w:val="center"/>
          </w:tcPr>
          <w:p>
            <w:pPr>
              <w:pStyle w:val="TableText"/>
            </w:pPr>
            <w:r>
              <w:rPr>
                <w:rFonts w:ascii="Calibri" w:hAnsi="Calibri"/>
              </w:rPr>
              <w:t xml:space="preserve">Données agrégées ou anonymisées ; accès contrôlé pour les données individuelles si nécessaire.</w:t>
            </w:r>
          </w:p>
        </w:tc>
      </w:tr>
    </w:tbl>
    <w:p>
      <w:pPr>
        <w:spacing w:after="80"/>
      </w:pPr>
    </w:p>
    <w:p>
      <w:pPr>
        <w:pStyle w:val="Heading1"/>
      </w:pPr>
      <w:r>
        <w:rPr>
          <w:rFonts w:ascii="Calibri" w:hAnsi="Calibri"/>
        </w:rPr>
        <w:t xml:space="preserve">12. Pré-enregistrement, transparence et valorisation</w:t>
      </w:r>
    </w:p>
    <w:p>
      <w:pPr>
        <w:pStyle w:val="Normal"/>
      </w:pPr>
      <w:r>
        <w:rPr>
          <w:rFonts w:ascii="Calibri" w:hAnsi="Calibri"/>
        </w:rPr>
        <w:t xml:space="preserve">Le protocole, les hypothèses, le critère principal, les exclusions, la gestion des données manquantes, le plan d'analyse et les seuils de fidélité sont pré-enregistrés avant la première collecte principale. Les amendements sont datés et justifiés. Le rapport distingue les analyses confirmatoires, secondaires et exploratoires, y compris lorsque les résultats sont nuls ou défavorables.</w:t>
      </w:r>
    </w:p>
    <w:p>
      <w:pPr>
        <w:pStyle w:val="Normal"/>
      </w:pPr>
      <w:r>
        <w:rPr>
          <w:rFonts w:ascii="Calibri" w:hAnsi="Calibri"/>
        </w:rPr>
        <w:t xml:space="preserve">Les livrables comprennent un rapport scientifique, une synthèse accessible aux familles et aux équipes, les scripts reproductibles, un dictionnaire de données, le bilan de fidélité de l'assistant et le dossier de candidature au Prix Chercheurs en Actes. Le calendrier de la 8e édition sera actualisé après sa publication officielle annoncée pour novembre 2026.</w:t>
      </w:r>
    </w:p>
    <w:p>
      <w:r>
        <w:br w:type="page"/>
      </w:r>
    </w:p>
    <w:p>
      <w:pPr>
        <w:pStyle w:val="Heading1"/>
      </w:pPr>
      <w:r>
        <w:rPr>
          <w:rFonts w:ascii="Calibri" w:hAnsi="Calibri"/>
        </w:rPr>
        <w:t xml:space="preserve">Annexe A. Fiche devoir standardisée</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3096"/>
        <w:gridCol w:w="6264"/>
      </w:tblGrid>
      <w:tr>
        <w:trPr>
          <w:tblHeader/>
        </w:trPr>
        <w:tc>
          <w:tcPr>
            <w:tcW w:w="3096" w:type="dxa"/>
            <w:shd w:val="clear" w:color="auto" w:fill="F4F6F9"/>
            <w:vAlign w:val="center"/>
          </w:tcPr>
          <w:p>
            <w:pPr>
              <w:pStyle w:val="TableText"/>
            </w:pPr>
            <w:r>
              <w:rPr>
                <w:rFonts w:ascii="Calibri" w:hAnsi="Calibri"/>
                <w:b/>
              </w:rPr>
              <w:t xml:space="preserve">Champ</w:t>
            </w:r>
          </w:p>
        </w:tc>
        <w:tc>
          <w:tcPr>
            <w:tcW w:w="6264" w:type="dxa"/>
            <w:shd w:val="clear" w:color="auto" w:fill="F4F6F9"/>
            <w:vAlign w:val="center"/>
          </w:tcPr>
          <w:p>
            <w:pPr>
              <w:pStyle w:val="TableText"/>
            </w:pPr>
            <w:r>
              <w:rPr>
                <w:rFonts w:ascii="Calibri" w:hAnsi="Calibri"/>
                <w:b/>
              </w:rPr>
              <w:t xml:space="preserve">À renseigner avant diffusion</w:t>
            </w:r>
          </w:p>
        </w:tc>
      </w:tr>
      <w:tr>
        <w:tc>
          <w:tcPr>
            <w:tcW w:w="3096" w:type="dxa"/>
            <w:vAlign w:val="center"/>
          </w:tcPr>
          <w:p>
            <w:pPr>
              <w:pStyle w:val="TableText"/>
            </w:pPr>
            <w:r>
              <w:rPr>
                <w:rFonts w:ascii="Calibri" w:hAnsi="Calibri"/>
              </w:rPr>
              <w:t xml:space="preserve">Contexte</w:t>
            </w:r>
          </w:p>
        </w:tc>
        <w:tc>
          <w:tcPr>
            <w:tcW w:w="6264" w:type="dxa"/>
            <w:vAlign w:val="center"/>
          </w:tcPr>
          <w:p>
            <w:pPr>
              <w:pStyle w:val="TableText"/>
            </w:pPr>
            <w:r>
              <w:rPr>
                <w:rFonts w:ascii="Calibri" w:hAnsi="Calibri"/>
              </w:rPr>
              <w:t xml:space="preserve">Classe, matière, enseignant, voie</w:t>
            </w:r>
          </w:p>
        </w:tc>
      </w:tr>
      <w:tr>
        <w:tc>
          <w:tcPr>
            <w:tcW w:w="3096" w:type="dxa"/>
            <w:vAlign w:val="center"/>
          </w:tcPr>
          <w:p>
            <w:pPr>
              <w:pStyle w:val="TableText"/>
            </w:pPr>
            <w:r>
              <w:rPr>
                <w:rFonts w:ascii="Calibri" w:hAnsi="Calibri"/>
              </w:rPr>
              <w:t xml:space="preserve">Rang</w:t>
            </w:r>
          </w:p>
        </w:tc>
        <w:tc>
          <w:tcPr>
            <w:tcW w:w="6264" w:type="dxa"/>
            <w:vAlign w:val="center"/>
          </w:tcPr>
          <w:p>
            <w:pPr>
              <w:pStyle w:val="TableText"/>
            </w:pPr>
            <w:r>
              <w:rPr>
                <w:rFonts w:ascii="Calibri" w:hAnsi="Calibri"/>
              </w:rPr>
              <w:t xml:space="preserve">1, 2, 3, 4 ou 5 dans la période</w:t>
            </w:r>
          </w:p>
        </w:tc>
      </w:tr>
      <w:tr>
        <w:tc>
          <w:tcPr>
            <w:tcW w:w="3096" w:type="dxa"/>
            <w:vAlign w:val="center"/>
          </w:tcPr>
          <w:p>
            <w:pPr>
              <w:pStyle w:val="TableText"/>
            </w:pPr>
            <w:r>
              <w:rPr>
                <w:rFonts w:ascii="Calibri" w:hAnsi="Calibri"/>
              </w:rPr>
              <w:t xml:space="preserve">Notions cibles</w:t>
            </w:r>
          </w:p>
        </w:tc>
        <w:tc>
          <w:tcPr>
            <w:tcW w:w="6264" w:type="dxa"/>
            <w:vAlign w:val="center"/>
          </w:tcPr>
          <w:p>
            <w:pPr>
              <w:pStyle w:val="TableText"/>
            </w:pPr>
            <w:r>
              <w:rPr>
                <w:rFonts w:ascii="Calibri" w:hAnsi="Calibri"/>
              </w:rPr>
              <w:t xml:space="preserve">Deux à quatre notions précisément définies</w:t>
            </w:r>
          </w:p>
        </w:tc>
      </w:tr>
      <w:tr>
        <w:tc>
          <w:tcPr>
            <w:tcW w:w="3096" w:type="dxa"/>
            <w:vAlign w:val="center"/>
          </w:tcPr>
          <w:p>
            <w:pPr>
              <w:pStyle w:val="TableText"/>
            </w:pPr>
            <w:r>
              <w:rPr>
                <w:rFonts w:ascii="Calibri" w:hAnsi="Calibri"/>
              </w:rPr>
              <w:t xml:space="preserve">Consigne</w:t>
            </w:r>
          </w:p>
        </w:tc>
        <w:tc>
          <w:tcPr>
            <w:tcW w:w="6264" w:type="dxa"/>
            <w:vAlign w:val="center"/>
          </w:tcPr>
          <w:p>
            <w:pPr>
              <w:pStyle w:val="TableText"/>
            </w:pPr>
            <w:r>
              <w:rPr>
                <w:rFonts w:ascii="Calibri" w:hAnsi="Calibri"/>
              </w:rPr>
              <w:t xml:space="preserve">Texte identique dans les deux conditions</w:t>
            </w:r>
          </w:p>
        </w:tc>
      </w:tr>
      <w:tr>
        <w:tc>
          <w:tcPr>
            <w:tcW w:w="3096" w:type="dxa"/>
            <w:vAlign w:val="center"/>
          </w:tcPr>
          <w:p>
            <w:pPr>
              <w:pStyle w:val="TableText"/>
            </w:pPr>
            <w:r>
              <w:rPr>
                <w:rFonts w:ascii="Calibri" w:hAnsi="Calibri"/>
              </w:rPr>
              <w:t xml:space="preserve">Ressources autorisées</w:t>
            </w:r>
          </w:p>
        </w:tc>
        <w:tc>
          <w:tcPr>
            <w:tcW w:w="6264" w:type="dxa"/>
            <w:vAlign w:val="center"/>
          </w:tcPr>
          <w:p>
            <w:pPr>
              <w:pStyle w:val="TableText"/>
            </w:pPr>
            <w:r>
              <w:rPr>
                <w:rFonts w:ascii="Calibri" w:hAnsi="Calibri"/>
              </w:rPr>
              <w:t xml:space="preserve">Cours, manuel, calculatrice, autres ressources</w:t>
            </w:r>
          </w:p>
        </w:tc>
      </w:tr>
      <w:tr>
        <w:tc>
          <w:tcPr>
            <w:tcW w:w="3096" w:type="dxa"/>
            <w:vAlign w:val="center"/>
          </w:tcPr>
          <w:p>
            <w:pPr>
              <w:pStyle w:val="TableText"/>
            </w:pPr>
            <w:r>
              <w:rPr>
                <w:rFonts w:ascii="Calibri" w:hAnsi="Calibri"/>
              </w:rPr>
              <w:t xml:space="preserve">Items ou concepts</w:t>
            </w:r>
          </w:p>
        </w:tc>
        <w:tc>
          <w:tcPr>
            <w:tcW w:w="6264" w:type="dxa"/>
            <w:vAlign w:val="center"/>
          </w:tcPr>
          <w:p>
            <w:pPr>
              <w:pStyle w:val="TableText"/>
            </w:pPr>
            <w:r>
              <w:rPr>
                <w:rFonts w:ascii="Calibri" w:hAnsi="Calibri"/>
              </w:rPr>
              <w:t xml:space="preserve">Clés stables utilisées par le moteur et les logs</w:t>
            </w:r>
          </w:p>
        </w:tc>
      </w:tr>
      <w:tr>
        <w:tc>
          <w:tcPr>
            <w:tcW w:w="3096" w:type="dxa"/>
            <w:vAlign w:val="center"/>
          </w:tcPr>
          <w:p>
            <w:pPr>
              <w:pStyle w:val="TableText"/>
            </w:pPr>
            <w:r>
              <w:rPr>
                <w:rFonts w:ascii="Calibri" w:hAnsi="Calibri"/>
              </w:rPr>
              <w:t xml:space="preserve">Attendus</w:t>
            </w:r>
          </w:p>
        </w:tc>
        <w:tc>
          <w:tcPr>
            <w:tcW w:w="6264" w:type="dxa"/>
            <w:vAlign w:val="center"/>
          </w:tcPr>
          <w:p>
            <w:pPr>
              <w:pStyle w:val="TableText"/>
            </w:pPr>
            <w:r>
              <w:rPr>
                <w:rFonts w:ascii="Calibri" w:hAnsi="Calibri"/>
              </w:rPr>
              <w:t xml:space="preserve">Critères de la grille de qualité</w:t>
            </w:r>
          </w:p>
        </w:tc>
      </w:tr>
      <w:tr>
        <w:tc>
          <w:tcPr>
            <w:tcW w:w="3096" w:type="dxa"/>
            <w:vAlign w:val="center"/>
          </w:tcPr>
          <w:p>
            <w:pPr>
              <w:pStyle w:val="TableText"/>
            </w:pPr>
            <w:r>
              <w:rPr>
                <w:rFonts w:ascii="Calibri" w:hAnsi="Calibri"/>
              </w:rPr>
              <w:t xml:space="preserve">Difficulté a priori</w:t>
            </w:r>
          </w:p>
        </w:tc>
        <w:tc>
          <w:tcPr>
            <w:tcW w:w="6264" w:type="dxa"/>
            <w:vAlign w:val="center"/>
          </w:tcPr>
          <w:p>
            <w:pPr>
              <w:pStyle w:val="TableText"/>
            </w:pPr>
            <w:r>
              <w:rPr>
                <w:rFonts w:ascii="Calibri" w:hAnsi="Calibri"/>
              </w:rPr>
              <w:t xml:space="preserve">Justification pédagogique et, si possible, item repère</w:t>
            </w:r>
          </w:p>
        </w:tc>
      </w:tr>
      <w:tr>
        <w:tc>
          <w:tcPr>
            <w:tcW w:w="3096" w:type="dxa"/>
            <w:vAlign w:val="center"/>
          </w:tcPr>
          <w:p>
            <w:pPr>
              <w:pStyle w:val="TableText"/>
            </w:pPr>
            <w:r>
              <w:rPr>
                <w:rFonts w:ascii="Calibri" w:hAnsi="Calibri"/>
              </w:rPr>
              <w:t xml:space="preserve">Configuration DC</w:t>
            </w:r>
          </w:p>
        </w:tc>
        <w:tc>
          <w:tcPr>
            <w:tcW w:w="6264" w:type="dxa"/>
            <w:vAlign w:val="center"/>
          </w:tcPr>
          <w:p>
            <w:pPr>
              <w:pStyle w:val="TableText"/>
            </w:pPr>
            <w:r>
              <w:rPr>
                <w:rFonts w:ascii="Calibri" w:hAnsi="Calibri"/>
              </w:rPr>
              <w:t xml:space="preserve">Plafond d'aide, version du moteur, prompt, modèle et paramètres</w:t>
            </w:r>
          </w:p>
        </w:tc>
      </w:tr>
      <w:tr>
        <w:tc>
          <w:tcPr>
            <w:tcW w:w="3096" w:type="dxa"/>
            <w:vAlign w:val="center"/>
          </w:tcPr>
          <w:p>
            <w:pPr>
              <w:pStyle w:val="TableText"/>
            </w:pPr>
            <w:r>
              <w:rPr>
                <w:rFonts w:ascii="Calibri" w:hAnsi="Calibri"/>
              </w:rPr>
              <w:t xml:space="preserve">Calendrier</w:t>
            </w:r>
          </w:p>
        </w:tc>
        <w:tc>
          <w:tcPr>
            <w:tcW w:w="6264" w:type="dxa"/>
            <w:vAlign w:val="center"/>
          </w:tcPr>
          <w:p>
            <w:pPr>
              <w:pStyle w:val="TableText"/>
            </w:pPr>
            <w:r>
              <w:rPr>
                <w:rFonts w:ascii="Calibri" w:hAnsi="Calibri"/>
              </w:rPr>
              <w:t xml:space="preserve">Diffusion, rendu, évaluation sans assistant, correction collective</w:t>
            </w:r>
          </w:p>
        </w:tc>
      </w:tr>
      <w:tr>
        <w:tc>
          <w:tcPr>
            <w:tcW w:w="3096" w:type="dxa"/>
            <w:vAlign w:val="center"/>
          </w:tcPr>
          <w:p>
            <w:pPr>
              <w:pStyle w:val="TableText"/>
            </w:pPr>
            <w:r>
              <w:rPr>
                <w:rFonts w:ascii="Calibri" w:hAnsi="Calibri"/>
              </w:rPr>
              <w:t xml:space="preserve">Évaluation associée</w:t>
            </w:r>
          </w:p>
        </w:tc>
        <w:tc>
          <w:tcPr>
            <w:tcW w:w="6264" w:type="dxa"/>
            <w:vAlign w:val="center"/>
          </w:tcPr>
          <w:p>
            <w:pPr>
              <w:pStyle w:val="TableText"/>
            </w:pPr>
            <w:r>
              <w:rPr>
                <w:rFonts w:ascii="Calibri" w:hAnsi="Calibri"/>
              </w:rPr>
              <w:t xml:space="preserve">Items de transfert reliés aux notions cibles</w:t>
            </w:r>
          </w:p>
        </w:tc>
      </w:tr>
      <w:tr>
        <w:tc>
          <w:tcPr>
            <w:tcW w:w="3096" w:type="dxa"/>
            <w:vAlign w:val="center"/>
          </w:tcPr>
          <w:p>
            <w:pPr>
              <w:pStyle w:val="TableText"/>
            </w:pPr>
            <w:r>
              <w:rPr>
                <w:rFonts w:ascii="Calibri" w:hAnsi="Calibri"/>
              </w:rPr>
              <w:t xml:space="preserve">Écarts</w:t>
            </w:r>
          </w:p>
        </w:tc>
        <w:tc>
          <w:tcPr>
            <w:tcW w:w="6264" w:type="dxa"/>
            <w:vAlign w:val="center"/>
          </w:tcPr>
          <w:p>
            <w:pPr>
              <w:pStyle w:val="TableText"/>
            </w:pPr>
            <w:r>
              <w:rPr>
                <w:rFonts w:ascii="Calibri" w:hAnsi="Calibri"/>
              </w:rPr>
              <w:t xml:space="preserve">Modification, incident ou exception observée</w:t>
            </w:r>
          </w:p>
        </w:tc>
      </w:tr>
    </w:tbl>
    <w:p>
      <w:pPr>
        <w:spacing w:after="80"/>
      </w:pPr>
    </w:p>
    <w:p>
      <w:pPr>
        <w:pStyle w:val="Heading1"/>
      </w:pPr>
      <w:r>
        <w:rPr>
          <w:rFonts w:ascii="Calibri" w:hAnsi="Calibri"/>
        </w:rPr>
        <w:t xml:space="preserve">Annexe B. Micro-questionnaire post-devoir</w:t>
      </w:r>
    </w:p>
    <w:p>
      <w:pPr>
        <w:pStyle w:val="Callout"/>
      </w:pPr>
      <w:r>
        <w:rPr>
          <w:rFonts w:ascii="Calibri" w:hAnsi="Calibri"/>
          <w:b/>
        </w:rPr>
        <w:t xml:space="preserve">Confidentialité : </w:t>
      </w:r>
      <w:r>
        <w:rPr>
          <w:rFonts w:ascii="Calibri" w:hAnsi="Calibri"/>
        </w:rPr>
        <w:t xml:space="preserve">ce questionnaire porte un identifiant de recherche. Il est pseudonymisé et ne doit pas être présenté comme anonyme.</w:t>
      </w:r>
    </w:p>
    <w:p>
      <w:pPr>
        <w:pStyle w:val="ListText"/>
        <w:numPr>
          <w:ilvl w:val="0"/>
          <w:numId w:val="2"/>
        </w:numPr>
      </w:pPr>
      <w:r>
        <w:rPr>
          <w:rFonts w:ascii="Calibri" w:hAnsi="Calibri"/>
        </w:rPr>
        <w:t xml:space="preserve">As-tu rendu le devoir ? Oui / En partie / Non.</w:t>
      </w:r>
    </w:p>
    <w:p>
      <w:pPr>
        <w:pStyle w:val="ListText"/>
        <w:numPr>
          <w:ilvl w:val="0"/>
          <w:numId w:val="2"/>
        </w:numPr>
      </w:pPr>
      <w:r>
        <w:rPr>
          <w:rFonts w:ascii="Calibri" w:hAnsi="Calibri"/>
        </w:rPr>
        <w:t xml:space="preserve">As-tu utilisé une IA en dehors de Devoir Complice ? Non / Un peu / Beaucoup.</w:t>
      </w:r>
    </w:p>
    <w:p>
      <w:pPr>
        <w:pStyle w:val="ListText"/>
        <w:numPr>
          <w:ilvl w:val="0"/>
          <w:numId w:val="2"/>
        </w:numPr>
      </w:pPr>
      <w:r>
        <w:rPr>
          <w:rFonts w:ascii="Calibri" w:hAnsi="Calibri"/>
        </w:rPr>
        <w:t xml:space="preserve">Quelqu'un t'a-t-il aidé ? Non / Un peu / Beaucoup.</w:t>
      </w:r>
    </w:p>
    <w:p>
      <w:pPr>
        <w:pStyle w:val="ListText"/>
        <w:numPr>
          <w:ilvl w:val="0"/>
          <w:numId w:val="2"/>
        </w:numPr>
      </w:pPr>
      <w:r>
        <w:rPr>
          <w:rFonts w:ascii="Calibri" w:hAnsi="Calibri"/>
        </w:rPr>
        <w:t xml:space="preserve">Ce devoir t'a semblé : facile / moyen / difficile.</w:t>
      </w:r>
    </w:p>
    <w:p>
      <w:pPr>
        <w:pStyle w:val="ListText"/>
        <w:numPr>
          <w:ilvl w:val="0"/>
          <w:numId w:val="2"/>
        </w:numPr>
      </w:pPr>
      <w:r>
        <w:rPr>
          <w:rFonts w:ascii="Calibri" w:hAnsi="Calibri"/>
        </w:rPr>
        <w:t xml:space="preserve">As-tu rencontré un problème technique ? Non / Oui, sans empêcher le travail / Oui, le travail a été empêché.</w:t>
      </w:r>
    </w:p>
    <w:p>
      <w:pPr>
        <w:pStyle w:val="Heading1"/>
      </w:pPr>
      <w:r>
        <w:rPr>
          <w:rFonts w:ascii="Calibri" w:hAnsi="Calibri"/>
        </w:rPr>
        <w:t xml:space="preserve">Annexe C. Dictionnaire minimal des journaux</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3024"/>
        <w:gridCol w:w="6336"/>
      </w:tblGrid>
      <w:tr>
        <w:trPr>
          <w:tblHeader/>
        </w:trPr>
        <w:tc>
          <w:tcPr>
            <w:tcW w:w="3024" w:type="dxa"/>
            <w:shd w:val="clear" w:color="auto" w:fill="F4F6F9"/>
            <w:vAlign w:val="center"/>
          </w:tcPr>
          <w:p>
            <w:pPr>
              <w:pStyle w:val="TableText"/>
            </w:pPr>
            <w:r>
              <w:rPr>
                <w:rFonts w:ascii="Calibri" w:hAnsi="Calibri"/>
                <w:b/>
              </w:rPr>
              <w:t xml:space="preserve">Variable</w:t>
            </w:r>
          </w:p>
        </w:tc>
        <w:tc>
          <w:tcPr>
            <w:tcW w:w="6336" w:type="dxa"/>
            <w:shd w:val="clear" w:color="auto" w:fill="F4F6F9"/>
            <w:vAlign w:val="center"/>
          </w:tcPr>
          <w:p>
            <w:pPr>
              <w:pStyle w:val="TableText"/>
            </w:pPr>
            <w:r>
              <w:rPr>
                <w:rFonts w:ascii="Calibri" w:hAnsi="Calibri"/>
                <w:b/>
              </w:rPr>
              <w:t xml:space="preserve">Définition</w:t>
            </w:r>
          </w:p>
        </w:tc>
      </w:tr>
      <w:tr>
        <w:tc>
          <w:tcPr>
            <w:tcW w:w="3024" w:type="dxa"/>
            <w:vAlign w:val="center"/>
          </w:tcPr>
          <w:p>
            <w:pPr>
              <w:pStyle w:val="TableText"/>
            </w:pPr>
            <w:r>
              <w:rPr>
                <w:rFonts w:ascii="Calibri" w:hAnsi="Calibri"/>
              </w:rPr>
              <w:t xml:space="preserve">participant_id</w:t>
            </w:r>
          </w:p>
        </w:tc>
        <w:tc>
          <w:tcPr>
            <w:tcW w:w="6336" w:type="dxa"/>
            <w:vAlign w:val="center"/>
          </w:tcPr>
          <w:p>
            <w:pPr>
              <w:pStyle w:val="TableText"/>
            </w:pPr>
            <w:r>
              <w:rPr>
                <w:rFonts w:ascii="Calibri" w:hAnsi="Calibri"/>
              </w:rPr>
              <w:t xml:space="preserve">Identifiant de recherche pseudonymisé, distinct du compte</w:t>
            </w:r>
          </w:p>
        </w:tc>
      </w:tr>
      <w:tr>
        <w:tc>
          <w:tcPr>
            <w:tcW w:w="3024" w:type="dxa"/>
            <w:vAlign w:val="center"/>
          </w:tcPr>
          <w:p>
            <w:pPr>
              <w:pStyle w:val="TableText"/>
            </w:pPr>
            <w:r>
              <w:rPr>
                <w:rFonts w:ascii="Calibri" w:hAnsi="Calibri"/>
              </w:rPr>
              <w:t xml:space="preserve">contexte_id / devoir_id / item_key</w:t>
            </w:r>
          </w:p>
        </w:tc>
        <w:tc>
          <w:tcPr>
            <w:tcW w:w="6336" w:type="dxa"/>
            <w:vAlign w:val="center"/>
          </w:tcPr>
          <w:p>
            <w:pPr>
              <w:pStyle w:val="TableText"/>
            </w:pPr>
            <w:r>
              <w:rPr>
                <w:rFonts w:ascii="Calibri" w:hAnsi="Calibri"/>
              </w:rPr>
              <w:t xml:space="preserve">Niveaux d'imbrication de l'observation</w:t>
            </w:r>
          </w:p>
        </w:tc>
      </w:tr>
      <w:tr>
        <w:tc>
          <w:tcPr>
            <w:tcW w:w="3024" w:type="dxa"/>
            <w:vAlign w:val="center"/>
          </w:tcPr>
          <w:p>
            <w:pPr>
              <w:pStyle w:val="TableText"/>
            </w:pPr>
            <w:r>
              <w:rPr>
                <w:rFonts w:ascii="Calibri" w:hAnsi="Calibri"/>
              </w:rPr>
              <w:t xml:space="preserve">periode / rang / condition_attribuee</w:t>
            </w:r>
          </w:p>
        </w:tc>
        <w:tc>
          <w:tcPr>
            <w:tcW w:w="6336" w:type="dxa"/>
            <w:vAlign w:val="center"/>
          </w:tcPr>
          <w:p>
            <w:pPr>
              <w:pStyle w:val="TableText"/>
            </w:pPr>
            <w:r>
              <w:rPr>
                <w:rFonts w:ascii="Calibri" w:hAnsi="Calibri"/>
              </w:rPr>
              <w:t xml:space="preserve">Plan expérimental et ordre temporel</w:t>
            </w:r>
          </w:p>
        </w:tc>
      </w:tr>
      <w:tr>
        <w:tc>
          <w:tcPr>
            <w:tcW w:w="3024" w:type="dxa"/>
            <w:vAlign w:val="center"/>
          </w:tcPr>
          <w:p>
            <w:pPr>
              <w:pStyle w:val="TableText"/>
            </w:pPr>
            <w:r>
              <w:rPr>
                <w:rFonts w:ascii="Calibri" w:hAnsi="Calibri"/>
              </w:rPr>
              <w:t xml:space="preserve">niveau_precedent / niveau_fourni / niveau_suivant</w:t>
            </w:r>
          </w:p>
        </w:tc>
        <w:tc>
          <w:tcPr>
            <w:tcW w:w="6336" w:type="dxa"/>
            <w:vAlign w:val="center"/>
          </w:tcPr>
          <w:p>
            <w:pPr>
              <w:pStyle w:val="TableText"/>
            </w:pPr>
            <w:r>
              <w:rPr>
                <w:rFonts w:ascii="Calibri" w:hAnsi="Calibri"/>
              </w:rPr>
              <w:t xml:space="preserve">Transition et aide réellement délivrée</w:t>
            </w:r>
          </w:p>
        </w:tc>
      </w:tr>
      <w:tr>
        <w:tc>
          <w:tcPr>
            <w:tcW w:w="3024" w:type="dxa"/>
            <w:vAlign w:val="center"/>
          </w:tcPr>
          <w:p>
            <w:pPr>
              <w:pStyle w:val="TableText"/>
            </w:pPr>
            <w:r>
              <w:rPr>
                <w:rFonts w:ascii="Calibri" w:hAnsi="Calibri"/>
              </w:rPr>
              <w:t xml:space="preserve">motif_transition</w:t>
            </w:r>
          </w:p>
        </w:tc>
        <w:tc>
          <w:tcPr>
            <w:tcW w:w="6336" w:type="dxa"/>
            <w:vAlign w:val="center"/>
          </w:tcPr>
          <w:p>
            <w:pPr>
              <w:pStyle w:val="TableText"/>
            </w:pPr>
            <w:r>
              <w:rPr>
                <w:rFonts w:ascii="Calibri" w:hAnsi="Calibri"/>
              </w:rPr>
              <w:t xml:space="preserve">Demande explicite, blocage, erreur, réussite ou absence d'évidence</w:t>
            </w:r>
          </w:p>
        </w:tc>
      </w:tr>
      <w:tr>
        <w:tc>
          <w:tcPr>
            <w:tcW w:w="3024" w:type="dxa"/>
            <w:vAlign w:val="center"/>
          </w:tcPr>
          <w:p>
            <w:pPr>
              <w:pStyle w:val="TableText"/>
            </w:pPr>
            <w:r>
              <w:rPr>
                <w:rFonts w:ascii="Calibri" w:hAnsi="Calibri"/>
              </w:rPr>
              <w:t xml:space="preserve">statut_reponse / confiance</w:t>
            </w:r>
          </w:p>
        </w:tc>
        <w:tc>
          <w:tcPr>
            <w:tcW w:w="6336" w:type="dxa"/>
            <w:vAlign w:val="center"/>
          </w:tcPr>
          <w:p>
            <w:pPr>
              <w:pStyle w:val="TableText"/>
            </w:pPr>
            <w:r>
              <w:rPr>
                <w:rFonts w:ascii="Calibri" w:hAnsi="Calibri"/>
              </w:rPr>
              <w:t xml:space="preserve">Observation structurée, distincte de la performance indépendante</w:t>
            </w:r>
          </w:p>
        </w:tc>
      </w:tr>
      <w:tr>
        <w:tc>
          <w:tcPr>
            <w:tcW w:w="3024" w:type="dxa"/>
            <w:vAlign w:val="center"/>
          </w:tcPr>
          <w:p>
            <w:pPr>
              <w:pStyle w:val="TableText"/>
            </w:pPr>
            <w:r>
              <w:rPr>
                <w:rFonts w:ascii="Calibri" w:hAnsi="Calibri"/>
              </w:rPr>
              <w:t xml:space="preserve">horodatage / durée</w:t>
            </w:r>
          </w:p>
        </w:tc>
        <w:tc>
          <w:tcPr>
            <w:tcW w:w="6336" w:type="dxa"/>
            <w:vAlign w:val="center"/>
          </w:tcPr>
          <w:p>
            <w:pPr>
              <w:pStyle w:val="TableText"/>
            </w:pPr>
            <w:r>
              <w:rPr>
                <w:rFonts w:ascii="Calibri" w:hAnsi="Calibri"/>
              </w:rPr>
              <w:t xml:space="preserve">Temps et ordre des interventions</w:t>
            </w:r>
          </w:p>
        </w:tc>
      </w:tr>
      <w:tr>
        <w:tc>
          <w:tcPr>
            <w:tcW w:w="3024" w:type="dxa"/>
            <w:vAlign w:val="center"/>
          </w:tcPr>
          <w:p>
            <w:pPr>
              <w:pStyle w:val="TableText"/>
            </w:pPr>
            <w:r>
              <w:rPr>
                <w:rFonts w:ascii="Calibri" w:hAnsi="Calibri"/>
              </w:rPr>
              <w:t xml:space="preserve">modele / fournisseur / prompt_version / app_version</w:t>
            </w:r>
          </w:p>
        </w:tc>
        <w:tc>
          <w:tcPr>
            <w:tcW w:w="6336" w:type="dxa"/>
            <w:vAlign w:val="center"/>
          </w:tcPr>
          <w:p>
            <w:pPr>
              <w:pStyle w:val="TableText"/>
            </w:pPr>
            <w:r>
              <w:rPr>
                <w:rFonts w:ascii="Calibri" w:hAnsi="Calibri"/>
              </w:rPr>
              <w:t xml:space="preserve">Reproductibilité technique</w:t>
            </w:r>
          </w:p>
        </w:tc>
      </w:tr>
      <w:tr>
        <w:tc>
          <w:tcPr>
            <w:tcW w:w="3024" w:type="dxa"/>
            <w:vAlign w:val="center"/>
          </w:tcPr>
          <w:p>
            <w:pPr>
              <w:pStyle w:val="TableText"/>
            </w:pPr>
            <w:r>
              <w:rPr>
                <w:rFonts w:ascii="Calibri" w:hAnsi="Calibri"/>
              </w:rPr>
              <w:t xml:space="preserve">nb_mots_eleve / nb_mots_ia</w:t>
            </w:r>
          </w:p>
        </w:tc>
        <w:tc>
          <w:tcPr>
            <w:tcW w:w="6336" w:type="dxa"/>
            <w:vAlign w:val="center"/>
          </w:tcPr>
          <w:p>
            <w:pPr>
              <w:pStyle w:val="TableText"/>
            </w:pPr>
            <w:r>
              <w:rPr>
                <w:rFonts w:ascii="Calibri" w:hAnsi="Calibri"/>
              </w:rPr>
              <w:t xml:space="preserve">Indicateurs descriptifs</w:t>
            </w:r>
          </w:p>
        </w:tc>
      </w:tr>
      <w:tr>
        <w:tc>
          <w:tcPr>
            <w:tcW w:w="3024" w:type="dxa"/>
            <w:vAlign w:val="center"/>
          </w:tcPr>
          <w:p>
            <w:pPr>
              <w:pStyle w:val="TableText"/>
            </w:pPr>
            <w:r>
              <w:rPr>
                <w:rFonts w:ascii="Calibri" w:hAnsi="Calibri"/>
              </w:rPr>
              <w:t xml:space="preserve">incident / panne / collage_bloque</w:t>
            </w:r>
          </w:p>
        </w:tc>
        <w:tc>
          <w:tcPr>
            <w:tcW w:w="6336" w:type="dxa"/>
            <w:vAlign w:val="center"/>
          </w:tcPr>
          <w:p>
            <w:pPr>
              <w:pStyle w:val="TableText"/>
            </w:pPr>
            <w:r>
              <w:rPr>
                <w:rFonts w:ascii="Calibri" w:hAnsi="Calibri"/>
              </w:rPr>
              <w:t xml:space="preserve">Événements techniques, sans interprétation disciplinaire</w:t>
            </w:r>
          </w:p>
        </w:tc>
      </w:tr>
      <w:tr>
        <w:tc>
          <w:tcPr>
            <w:tcW w:w="3024" w:type="dxa"/>
            <w:vAlign w:val="center"/>
          </w:tcPr>
          <w:p>
            <w:pPr>
              <w:pStyle w:val="TableText"/>
            </w:pPr>
            <w:r>
              <w:rPr>
                <w:rFonts w:ascii="Calibri" w:hAnsi="Calibri"/>
              </w:rPr>
              <w:t xml:space="preserve">rendu / completude / score_qualite / score_eval</w:t>
            </w:r>
          </w:p>
        </w:tc>
        <w:tc>
          <w:tcPr>
            <w:tcW w:w="6336" w:type="dxa"/>
            <w:vAlign w:val="center"/>
          </w:tcPr>
          <w:p>
            <w:pPr>
              <w:pStyle w:val="TableText"/>
            </w:pPr>
            <w:r>
              <w:rPr>
                <w:rFonts w:ascii="Calibri" w:hAnsi="Calibri"/>
              </w:rPr>
              <w:t xml:space="preserve">Résultats pédagogiques reliés</w:t>
            </w:r>
          </w:p>
        </w:tc>
      </w:tr>
    </w:tbl>
    <w:p>
      <w:pPr>
        <w:spacing w:after="80"/>
      </w:pPr>
    </w:p>
    <w:p>
      <w:pPr>
        <w:pStyle w:val="Heading1"/>
      </w:pPr>
      <w:r>
        <w:rPr>
          <w:rFonts w:ascii="Calibri" w:hAnsi="Calibri"/>
        </w:rPr>
        <w:t xml:space="preserve">Annexe D. Échelle d'auto-efficacité face aux devoirs</w:t>
      </w:r>
    </w:p>
    <w:p>
      <w:pPr>
        <w:pStyle w:val="Normal"/>
      </w:pPr>
      <w:r>
        <w:rPr>
          <w:rFonts w:ascii="Calibri" w:hAnsi="Calibri"/>
        </w:rPr>
        <w:t xml:space="preserve">Réponse de 1 (« pas du tout vrai pour moi ») à 5 (« tout à fait vrai pour moi »). L'adaptation doit être documentée et testée au pilote.</w:t>
      </w:r>
    </w:p>
    <w:p>
      <w:pPr>
        <w:pStyle w:val="ListText"/>
        <w:numPr>
          <w:ilvl w:val="0"/>
          <w:numId w:val="3"/>
        </w:numPr>
      </w:pPr>
      <w:r>
        <w:rPr>
          <w:rFonts w:ascii="Calibri" w:hAnsi="Calibri"/>
        </w:rPr>
        <w:t xml:space="preserve">Quand je commence un devoir, je sais par où commencer.</w:t>
      </w:r>
    </w:p>
    <w:p>
      <w:pPr>
        <w:pStyle w:val="ListText"/>
        <w:numPr>
          <w:ilvl w:val="0"/>
          <w:numId w:val="3"/>
        </w:numPr>
      </w:pPr>
      <w:r>
        <w:rPr>
          <w:rFonts w:ascii="Calibri" w:hAnsi="Calibri"/>
        </w:rPr>
        <w:t xml:space="preserve">Quand je bloque, je trouve un moyen d'avancer sans abandonner.</w:t>
      </w:r>
    </w:p>
    <w:p>
      <w:pPr>
        <w:pStyle w:val="ListText"/>
        <w:numPr>
          <w:ilvl w:val="0"/>
          <w:numId w:val="3"/>
        </w:numPr>
      </w:pPr>
      <w:r>
        <w:rPr>
          <w:rFonts w:ascii="Calibri" w:hAnsi="Calibri"/>
        </w:rPr>
        <w:t xml:space="preserve">Je suis capable de finir mes devoirs avec le niveau d'aide prévu pour moi.</w:t>
      </w:r>
    </w:p>
    <w:p>
      <w:pPr>
        <w:pStyle w:val="ListText"/>
        <w:numPr>
          <w:ilvl w:val="0"/>
          <w:numId w:val="3"/>
        </w:numPr>
      </w:pPr>
      <w:r>
        <w:rPr>
          <w:rFonts w:ascii="Calibri" w:hAnsi="Calibri"/>
        </w:rPr>
        <w:t xml:space="preserve">Je comprends ce qu'on attend de moi dans une consigne.</w:t>
      </w:r>
    </w:p>
    <w:p>
      <w:pPr>
        <w:pStyle w:val="ListText"/>
        <w:numPr>
          <w:ilvl w:val="0"/>
          <w:numId w:val="3"/>
        </w:numPr>
      </w:pPr>
      <w:r>
        <w:rPr>
          <w:rFonts w:ascii="Calibri" w:hAnsi="Calibri"/>
        </w:rPr>
        <w:t xml:space="preserve">Je peux expliquer à quelqu'un ce que j'ai fait dans mon devoir.</w:t>
      </w:r>
    </w:p>
    <w:p>
      <w:pPr>
        <w:pStyle w:val="ListText"/>
        <w:numPr>
          <w:ilvl w:val="0"/>
          <w:numId w:val="3"/>
        </w:numPr>
      </w:pPr>
      <w:r>
        <w:rPr>
          <w:rFonts w:ascii="Calibri" w:hAnsi="Calibri"/>
        </w:rPr>
        <w:t xml:space="preserve">Je me sens capable de réussir l'évaluation qui suit un devoir.</w:t>
      </w:r>
    </w:p>
    <w:p>
      <w:pPr>
        <w:pStyle w:val="Heading1"/>
      </w:pPr>
      <w:r>
        <w:rPr>
          <w:rFonts w:ascii="Calibri" w:hAnsi="Calibri"/>
        </w:rPr>
        <w:t xml:space="preserve">Annexe E. Grille de fidélité de l'assistant</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3312"/>
        <w:gridCol w:w="6048"/>
      </w:tblGrid>
      <w:tr>
        <w:trPr>
          <w:tblHeader/>
        </w:trPr>
        <w:tc>
          <w:tcPr>
            <w:tcW w:w="3312" w:type="dxa"/>
            <w:shd w:val="clear" w:color="auto" w:fill="F4F6F9"/>
            <w:vAlign w:val="center"/>
          </w:tcPr>
          <w:p>
            <w:pPr>
              <w:pStyle w:val="TableText"/>
            </w:pPr>
            <w:r>
              <w:rPr>
                <w:rFonts w:ascii="Calibri" w:hAnsi="Calibri"/>
                <w:b/>
              </w:rPr>
              <w:t xml:space="preserve">Critère</w:t>
            </w:r>
          </w:p>
        </w:tc>
        <w:tc>
          <w:tcPr>
            <w:tcW w:w="6048" w:type="dxa"/>
            <w:shd w:val="clear" w:color="auto" w:fill="F4F6F9"/>
            <w:vAlign w:val="center"/>
          </w:tcPr>
          <w:p>
            <w:pPr>
              <w:pStyle w:val="TableText"/>
            </w:pPr>
            <w:r>
              <w:rPr>
                <w:rFonts w:ascii="Calibri" w:hAnsi="Calibri"/>
                <w:b/>
              </w:rPr>
              <w:t xml:space="preserve">Codage proposé</w:t>
            </w:r>
          </w:p>
        </w:tc>
      </w:tr>
      <w:tr>
        <w:tc>
          <w:tcPr>
            <w:tcW w:w="3312" w:type="dxa"/>
            <w:vAlign w:val="center"/>
          </w:tcPr>
          <w:p>
            <w:pPr>
              <w:pStyle w:val="TableText"/>
            </w:pPr>
            <w:r>
              <w:rPr>
                <w:rFonts w:ascii="Calibri" w:hAnsi="Calibri"/>
              </w:rPr>
              <w:t xml:space="preserve">Conformité au niveau</w:t>
            </w:r>
          </w:p>
        </w:tc>
        <w:tc>
          <w:tcPr>
            <w:tcW w:w="6048" w:type="dxa"/>
            <w:vAlign w:val="center"/>
          </w:tcPr>
          <w:p>
            <w:pPr>
              <w:pStyle w:val="TableText"/>
            </w:pPr>
            <w:r>
              <w:rPr>
                <w:rFonts w:ascii="Calibri" w:hAnsi="Calibri"/>
              </w:rPr>
              <w:t xml:space="preserve">0 non conforme ; 1 partiel ; 2 conforme</w:t>
            </w:r>
          </w:p>
        </w:tc>
      </w:tr>
      <w:tr>
        <w:tc>
          <w:tcPr>
            <w:tcW w:w="3312" w:type="dxa"/>
            <w:vAlign w:val="center"/>
          </w:tcPr>
          <w:p>
            <w:pPr>
              <w:pStyle w:val="TableText"/>
            </w:pPr>
            <w:r>
              <w:rPr>
                <w:rFonts w:ascii="Calibri" w:hAnsi="Calibri"/>
              </w:rPr>
              <w:t xml:space="preserve">Réponse finale donnée</w:t>
            </w:r>
          </w:p>
        </w:tc>
        <w:tc>
          <w:tcPr>
            <w:tcW w:w="6048" w:type="dxa"/>
            <w:vAlign w:val="center"/>
          </w:tcPr>
          <w:p>
            <w:pPr>
              <w:pStyle w:val="TableText"/>
            </w:pPr>
            <w:r>
              <w:rPr>
                <w:rFonts w:ascii="Calibri" w:hAnsi="Calibri"/>
              </w:rPr>
              <w:t xml:space="preserve">Oui / Non ; violation majeure si oui</w:t>
            </w:r>
          </w:p>
        </w:tc>
      </w:tr>
      <w:tr>
        <w:tc>
          <w:tcPr>
            <w:tcW w:w="3312" w:type="dxa"/>
            <w:vAlign w:val="center"/>
          </w:tcPr>
          <w:p>
            <w:pPr>
              <w:pStyle w:val="TableText"/>
            </w:pPr>
            <w:r>
              <w:rPr>
                <w:rFonts w:ascii="Calibri" w:hAnsi="Calibri"/>
              </w:rPr>
              <w:t xml:space="preserve">Exactitude</w:t>
            </w:r>
          </w:p>
        </w:tc>
        <w:tc>
          <w:tcPr>
            <w:tcW w:w="6048" w:type="dxa"/>
            <w:vAlign w:val="center"/>
          </w:tcPr>
          <w:p>
            <w:pPr>
              <w:pStyle w:val="TableText"/>
            </w:pPr>
            <w:r>
              <w:rPr>
                <w:rFonts w:ascii="Calibri" w:hAnsi="Calibri"/>
              </w:rPr>
              <w:t xml:space="preserve">0 erreur importante ; 1 réserve mineure ; 2 exact</w:t>
            </w:r>
          </w:p>
        </w:tc>
      </w:tr>
      <w:tr>
        <w:tc>
          <w:tcPr>
            <w:tcW w:w="3312" w:type="dxa"/>
            <w:vAlign w:val="center"/>
          </w:tcPr>
          <w:p>
            <w:pPr>
              <w:pStyle w:val="TableText"/>
            </w:pPr>
            <w:r>
              <w:rPr>
                <w:rFonts w:ascii="Calibri" w:hAnsi="Calibri"/>
              </w:rPr>
              <w:t xml:space="preserve">Pertinence</w:t>
            </w:r>
          </w:p>
        </w:tc>
        <w:tc>
          <w:tcPr>
            <w:tcW w:w="6048" w:type="dxa"/>
            <w:vAlign w:val="center"/>
          </w:tcPr>
          <w:p>
            <w:pPr>
              <w:pStyle w:val="TableText"/>
            </w:pPr>
            <w:r>
              <w:rPr>
                <w:rFonts w:ascii="Calibri" w:hAnsi="Calibri"/>
              </w:rPr>
              <w:t xml:space="preserve">0 hors cible ; 1 partielle ; 2 adaptée au blocage</w:t>
            </w:r>
          </w:p>
        </w:tc>
      </w:tr>
      <w:tr>
        <w:tc>
          <w:tcPr>
            <w:tcW w:w="3312" w:type="dxa"/>
            <w:vAlign w:val="center"/>
          </w:tcPr>
          <w:p>
            <w:pPr>
              <w:pStyle w:val="TableText"/>
            </w:pPr>
            <w:r>
              <w:rPr>
                <w:rFonts w:ascii="Calibri" w:hAnsi="Calibri"/>
              </w:rPr>
              <w:t xml:space="preserve">Une action principale</w:t>
            </w:r>
          </w:p>
        </w:tc>
        <w:tc>
          <w:tcPr>
            <w:tcW w:w="6048" w:type="dxa"/>
            <w:vAlign w:val="center"/>
          </w:tcPr>
          <w:p>
            <w:pPr>
              <w:pStyle w:val="TableText"/>
            </w:pPr>
            <w:r>
              <w:rPr>
                <w:rFonts w:ascii="Calibri" w:hAnsi="Calibri"/>
              </w:rPr>
              <w:t xml:space="preserve">Oui / Non</w:t>
            </w:r>
          </w:p>
        </w:tc>
      </w:tr>
      <w:tr>
        <w:tc>
          <w:tcPr>
            <w:tcW w:w="3312" w:type="dxa"/>
            <w:vAlign w:val="center"/>
          </w:tcPr>
          <w:p>
            <w:pPr>
              <w:pStyle w:val="TableText"/>
            </w:pPr>
            <w:r>
              <w:rPr>
                <w:rFonts w:ascii="Calibri" w:hAnsi="Calibri"/>
              </w:rPr>
              <w:t xml:space="preserve">Respect et accessibilité</w:t>
            </w:r>
          </w:p>
        </w:tc>
        <w:tc>
          <w:tcPr>
            <w:tcW w:w="6048" w:type="dxa"/>
            <w:vAlign w:val="center"/>
          </w:tcPr>
          <w:p>
            <w:pPr>
              <w:pStyle w:val="TableText"/>
            </w:pPr>
            <w:r>
              <w:rPr>
                <w:rFonts w:ascii="Calibri" w:hAnsi="Calibri"/>
              </w:rPr>
              <w:t xml:space="preserve">0 problématique ; 1 améliorable ; 2 approprié</w:t>
            </w:r>
          </w:p>
        </w:tc>
      </w:tr>
      <w:tr>
        <w:tc>
          <w:tcPr>
            <w:tcW w:w="3312" w:type="dxa"/>
            <w:vAlign w:val="center"/>
          </w:tcPr>
          <w:p>
            <w:pPr>
              <w:pStyle w:val="TableText"/>
            </w:pPr>
            <w:r>
              <w:rPr>
                <w:rFonts w:ascii="Calibri" w:hAnsi="Calibri"/>
              </w:rPr>
              <w:t xml:space="preserve">Décision</w:t>
            </w:r>
          </w:p>
        </w:tc>
        <w:tc>
          <w:tcPr>
            <w:tcW w:w="6048" w:type="dxa"/>
            <w:vAlign w:val="center"/>
          </w:tcPr>
          <w:p>
            <w:pPr>
              <w:pStyle w:val="TableText"/>
            </w:pPr>
            <w:r>
              <w:rPr>
                <w:rFonts w:ascii="Calibri" w:hAnsi="Calibri"/>
              </w:rPr>
              <w:t xml:space="preserve">Conforme ; non-conformité mineure ; non-conformité majeure</w:t>
            </w:r>
          </w:p>
        </w:tc>
      </w:tr>
    </w:tbl>
    <w:p>
      <w:pPr>
        <w:spacing w:after="80"/>
      </w:pPr>
    </w:p>
    <w:p>
      <w:pPr>
        <w:pStyle w:val="Heading1"/>
      </w:pPr>
      <w:r>
        <w:rPr>
          <w:rFonts w:ascii="Calibri" w:hAnsi="Calibri"/>
        </w:rPr>
        <w:t xml:space="preserve">Annexe F. Journal des déviations</w:t>
      </w:r>
    </w:p>
    <w:tbl>
      <w:tblPr>
        <w:tblW w:w="9360" w:type="dxa"/>
        <w:tblInd w:w="120" w:type="dxa"/>
        <w:tblLayout w:type="fixed"/>
        <w:tblBorders>
          <w:top w:val="single" w:sz="4" w:color="AAB2BA"/>
          <w:left w:val="single" w:sz="4" w:color="AAB2BA"/>
          <w:bottom w:val="single" w:sz="4" w:color="AAB2BA"/>
          <w:right w:val="single" w:sz="4" w:color="AAB2BA"/>
          <w:insideH w:val="single" w:sz="4" w:color="AAB2BA"/>
          <w:insideV w:val="single" w:sz="4" w:color="AAB2BA"/>
        </w:tblBorders>
        <w:tblCellMar>
          <w:top w:w="80" w:type="dxa"/>
          <w:start w:w="120" w:type="dxa"/>
          <w:bottom w:w="80" w:type="dxa"/>
          <w:end w:w="120" w:type="dxa"/>
        </w:tblCellMar>
      </w:tblPr>
      <w:tblGrid>
        <w:gridCol w:w="1008"/>
        <w:gridCol w:w="1296"/>
        <w:gridCol w:w="2088"/>
        <w:gridCol w:w="1512"/>
        <w:gridCol w:w="1800"/>
        <w:gridCol w:w="1656"/>
      </w:tblGrid>
      <w:tr>
        <w:trPr>
          <w:tblHeader/>
        </w:trPr>
        <w:tc>
          <w:tcPr>
            <w:tcW w:w="1008" w:type="dxa"/>
            <w:shd w:val="clear" w:color="auto" w:fill="F4F6F9"/>
            <w:vAlign w:val="center"/>
          </w:tcPr>
          <w:p>
            <w:pPr>
              <w:pStyle w:val="TableText"/>
            </w:pPr>
            <w:r>
              <w:rPr>
                <w:rFonts w:ascii="Calibri" w:hAnsi="Calibri"/>
                <w:b/>
              </w:rPr>
              <w:t xml:space="preserve">Date</w:t>
            </w:r>
          </w:p>
        </w:tc>
        <w:tc>
          <w:tcPr>
            <w:tcW w:w="1296" w:type="dxa"/>
            <w:shd w:val="clear" w:color="auto" w:fill="F4F6F9"/>
            <w:vAlign w:val="center"/>
          </w:tcPr>
          <w:p>
            <w:pPr>
              <w:pStyle w:val="TableText"/>
            </w:pPr>
            <w:r>
              <w:rPr>
                <w:rFonts w:ascii="Calibri" w:hAnsi="Calibri"/>
                <w:b/>
              </w:rPr>
              <w:t xml:space="preserve">Contexte</w:t>
            </w:r>
          </w:p>
        </w:tc>
        <w:tc>
          <w:tcPr>
            <w:tcW w:w="2088" w:type="dxa"/>
            <w:shd w:val="clear" w:color="auto" w:fill="F4F6F9"/>
            <w:vAlign w:val="center"/>
          </w:tcPr>
          <w:p>
            <w:pPr>
              <w:pStyle w:val="TableText"/>
            </w:pPr>
            <w:r>
              <w:rPr>
                <w:rFonts w:ascii="Calibri" w:hAnsi="Calibri"/>
                <w:b/>
              </w:rPr>
              <w:t xml:space="preserve">Écart</w:t>
            </w:r>
          </w:p>
        </w:tc>
        <w:tc>
          <w:tcPr>
            <w:tcW w:w="1512" w:type="dxa"/>
            <w:shd w:val="clear" w:color="auto" w:fill="F4F6F9"/>
            <w:vAlign w:val="center"/>
          </w:tcPr>
          <w:p>
            <w:pPr>
              <w:pStyle w:val="TableText"/>
            </w:pPr>
            <w:r>
              <w:rPr>
                <w:rFonts w:ascii="Calibri" w:hAnsi="Calibri"/>
                <w:b/>
              </w:rPr>
              <w:t xml:space="preserve">Cause</w:t>
            </w:r>
          </w:p>
        </w:tc>
        <w:tc>
          <w:tcPr>
            <w:tcW w:w="1800" w:type="dxa"/>
            <w:shd w:val="clear" w:color="auto" w:fill="F4F6F9"/>
            <w:vAlign w:val="center"/>
          </w:tcPr>
          <w:p>
            <w:pPr>
              <w:pStyle w:val="TableText"/>
            </w:pPr>
            <w:r>
              <w:rPr>
                <w:rFonts w:ascii="Calibri" w:hAnsi="Calibri"/>
                <w:b/>
              </w:rPr>
              <w:t xml:space="preserve">Impact potentiel</w:t>
            </w:r>
          </w:p>
        </w:tc>
        <w:tc>
          <w:tcPr>
            <w:tcW w:w="1656" w:type="dxa"/>
            <w:shd w:val="clear" w:color="auto" w:fill="F4F6F9"/>
            <w:vAlign w:val="center"/>
          </w:tcPr>
          <w:p>
            <w:pPr>
              <w:pStyle w:val="TableText"/>
            </w:pPr>
            <w:r>
              <w:rPr>
                <w:rFonts w:ascii="Calibri" w:hAnsi="Calibri"/>
                <w:b/>
              </w:rPr>
              <w:t xml:space="preserve">Décision</w:t>
            </w:r>
          </w:p>
        </w:tc>
      </w:tr>
      <w:tr>
        <w:tc>
          <w:tcPr>
            <w:tcW w:w="1008" w:type="dxa"/>
            <w:vAlign w:val="center"/>
          </w:tcPr>
          <w:p>
            <w:pPr>
              <w:pStyle w:val="TableText"/>
            </w:pPr>
          </w:p>
        </w:tc>
        <w:tc>
          <w:tcPr>
            <w:tcW w:w="1296" w:type="dxa"/>
            <w:vAlign w:val="center"/>
          </w:tcPr>
          <w:p>
            <w:pPr>
              <w:pStyle w:val="TableText"/>
            </w:pPr>
          </w:p>
        </w:tc>
        <w:tc>
          <w:tcPr>
            <w:tcW w:w="2088" w:type="dxa"/>
            <w:vAlign w:val="center"/>
          </w:tcPr>
          <w:p>
            <w:pPr>
              <w:pStyle w:val="TableText"/>
            </w:pPr>
          </w:p>
        </w:tc>
        <w:tc>
          <w:tcPr>
            <w:tcW w:w="1512" w:type="dxa"/>
            <w:vAlign w:val="center"/>
          </w:tcPr>
          <w:p>
            <w:pPr>
              <w:pStyle w:val="TableText"/>
            </w:pPr>
          </w:p>
        </w:tc>
        <w:tc>
          <w:tcPr>
            <w:tcW w:w="1800" w:type="dxa"/>
            <w:vAlign w:val="center"/>
          </w:tcPr>
          <w:p>
            <w:pPr>
              <w:pStyle w:val="TableText"/>
            </w:pPr>
          </w:p>
        </w:tc>
        <w:tc>
          <w:tcPr>
            <w:tcW w:w="1656" w:type="dxa"/>
            <w:vAlign w:val="center"/>
          </w:tcPr>
          <w:p>
            <w:pPr>
              <w:pStyle w:val="TableText"/>
            </w:pPr>
          </w:p>
        </w:tc>
      </w:tr>
      <w:tr>
        <w:tc>
          <w:tcPr>
            <w:tcW w:w="1008" w:type="dxa"/>
            <w:vAlign w:val="center"/>
          </w:tcPr>
          <w:p>
            <w:pPr>
              <w:pStyle w:val="TableText"/>
            </w:pPr>
          </w:p>
        </w:tc>
        <w:tc>
          <w:tcPr>
            <w:tcW w:w="1296" w:type="dxa"/>
            <w:vAlign w:val="center"/>
          </w:tcPr>
          <w:p>
            <w:pPr>
              <w:pStyle w:val="TableText"/>
            </w:pPr>
          </w:p>
        </w:tc>
        <w:tc>
          <w:tcPr>
            <w:tcW w:w="2088" w:type="dxa"/>
            <w:vAlign w:val="center"/>
          </w:tcPr>
          <w:p>
            <w:pPr>
              <w:pStyle w:val="TableText"/>
            </w:pPr>
          </w:p>
        </w:tc>
        <w:tc>
          <w:tcPr>
            <w:tcW w:w="1512" w:type="dxa"/>
            <w:vAlign w:val="center"/>
          </w:tcPr>
          <w:p>
            <w:pPr>
              <w:pStyle w:val="TableText"/>
            </w:pPr>
          </w:p>
        </w:tc>
        <w:tc>
          <w:tcPr>
            <w:tcW w:w="1800" w:type="dxa"/>
            <w:vAlign w:val="center"/>
          </w:tcPr>
          <w:p>
            <w:pPr>
              <w:pStyle w:val="TableText"/>
            </w:pPr>
          </w:p>
        </w:tc>
        <w:tc>
          <w:tcPr>
            <w:tcW w:w="1656" w:type="dxa"/>
            <w:vAlign w:val="center"/>
          </w:tcPr>
          <w:p>
            <w:pPr>
              <w:pStyle w:val="TableText"/>
            </w:pPr>
          </w:p>
        </w:tc>
      </w:tr>
      <w:tr>
        <w:tc>
          <w:tcPr>
            <w:tcW w:w="1008" w:type="dxa"/>
            <w:vAlign w:val="center"/>
          </w:tcPr>
          <w:p>
            <w:pPr>
              <w:pStyle w:val="TableText"/>
            </w:pPr>
          </w:p>
        </w:tc>
        <w:tc>
          <w:tcPr>
            <w:tcW w:w="1296" w:type="dxa"/>
            <w:vAlign w:val="center"/>
          </w:tcPr>
          <w:p>
            <w:pPr>
              <w:pStyle w:val="TableText"/>
            </w:pPr>
          </w:p>
        </w:tc>
        <w:tc>
          <w:tcPr>
            <w:tcW w:w="2088" w:type="dxa"/>
            <w:vAlign w:val="center"/>
          </w:tcPr>
          <w:p>
            <w:pPr>
              <w:pStyle w:val="TableText"/>
            </w:pPr>
          </w:p>
        </w:tc>
        <w:tc>
          <w:tcPr>
            <w:tcW w:w="1512" w:type="dxa"/>
            <w:vAlign w:val="center"/>
          </w:tcPr>
          <w:p>
            <w:pPr>
              <w:pStyle w:val="TableText"/>
            </w:pPr>
          </w:p>
        </w:tc>
        <w:tc>
          <w:tcPr>
            <w:tcW w:w="1800" w:type="dxa"/>
            <w:vAlign w:val="center"/>
          </w:tcPr>
          <w:p>
            <w:pPr>
              <w:pStyle w:val="TableText"/>
            </w:pPr>
          </w:p>
        </w:tc>
        <w:tc>
          <w:tcPr>
            <w:tcW w:w="1656" w:type="dxa"/>
            <w:vAlign w:val="center"/>
          </w:tcPr>
          <w:p>
            <w:pPr>
              <w:pStyle w:val="TableText"/>
            </w:pPr>
          </w:p>
        </w:tc>
      </w:tr>
      <w:tr>
        <w:tc>
          <w:tcPr>
            <w:tcW w:w="1008" w:type="dxa"/>
            <w:vAlign w:val="center"/>
          </w:tcPr>
          <w:p>
            <w:pPr>
              <w:pStyle w:val="TableText"/>
            </w:pPr>
          </w:p>
        </w:tc>
        <w:tc>
          <w:tcPr>
            <w:tcW w:w="1296" w:type="dxa"/>
            <w:vAlign w:val="center"/>
          </w:tcPr>
          <w:p>
            <w:pPr>
              <w:pStyle w:val="TableText"/>
            </w:pPr>
          </w:p>
        </w:tc>
        <w:tc>
          <w:tcPr>
            <w:tcW w:w="2088" w:type="dxa"/>
            <w:vAlign w:val="center"/>
          </w:tcPr>
          <w:p>
            <w:pPr>
              <w:pStyle w:val="TableText"/>
            </w:pPr>
          </w:p>
        </w:tc>
        <w:tc>
          <w:tcPr>
            <w:tcW w:w="1512" w:type="dxa"/>
            <w:vAlign w:val="center"/>
          </w:tcPr>
          <w:p>
            <w:pPr>
              <w:pStyle w:val="TableText"/>
            </w:pPr>
          </w:p>
        </w:tc>
        <w:tc>
          <w:tcPr>
            <w:tcW w:w="1800" w:type="dxa"/>
            <w:vAlign w:val="center"/>
          </w:tcPr>
          <w:p>
            <w:pPr>
              <w:pStyle w:val="TableText"/>
            </w:pPr>
          </w:p>
        </w:tc>
        <w:tc>
          <w:tcPr>
            <w:tcW w:w="1656" w:type="dxa"/>
            <w:vAlign w:val="center"/>
          </w:tcPr>
          <w:p>
            <w:pPr>
              <w:pStyle w:val="TableText"/>
            </w:pPr>
          </w:p>
        </w:tc>
      </w:tr>
    </w:tbl>
    <w:p>
      <w:pPr>
        <w:spacing w:after="80"/>
      </w:pPr>
    </w:p>
    <w:p>
      <w:r>
        <w:br w:type="page"/>
      </w:r>
    </w:p>
    <w:p>
      <w:pPr>
        <w:pStyle w:val="Heading1"/>
      </w:pPr>
      <w:r>
        <w:rPr>
          <w:rFonts w:ascii="Calibri" w:hAnsi="Calibri"/>
        </w:rPr>
        <w:t xml:space="preserve">Références principales</w:t>
      </w:r>
    </w:p>
    <w:p>
      <w:pPr>
        <w:pStyle w:val="ListText"/>
        <w:numPr>
          <w:ilvl w:val="0"/>
          <w:numId w:val="1"/>
        </w:numPr>
      </w:pPr>
      <w:r>
        <w:rPr>
          <w:rFonts w:ascii="Calibri" w:hAnsi="Calibri"/>
        </w:rPr>
        <w:t xml:space="preserve">Bastani, H., Bastani, O., Sungu, A., Ge, H., Kabakcı, Ö. et Mariman, R. (2025). Generative AI without guardrails can harm learning: Evidence from high school mathematics. Proceedings of the National Academy of Sciences, 122(26), e2422633122. https://doi.org/10.1073/pnas.2422633122</w:t>
      </w:r>
    </w:p>
    <w:p>
      <w:pPr>
        <w:pStyle w:val="ListText"/>
        <w:numPr>
          <w:ilvl w:val="0"/>
          <w:numId w:val="1"/>
        </w:numPr>
      </w:pPr>
      <w:r>
        <w:rPr>
          <w:rFonts w:ascii="Calibri" w:hAnsi="Calibri"/>
        </w:rPr>
        <w:t xml:space="preserve">Collins, A., Brown, J. S. et Newman, S. E. (1989). Cognitive apprenticeship: Teaching the crafts of reading, writing, and mathematics. Dans L. B. Resnick (dir.), Knowing, Learning, and Instruction.</w:t>
      </w:r>
    </w:p>
    <w:p>
      <w:pPr>
        <w:pStyle w:val="ListText"/>
        <w:numPr>
          <w:ilvl w:val="0"/>
          <w:numId w:val="1"/>
        </w:numPr>
      </w:pPr>
      <w:r>
        <w:rPr>
          <w:rFonts w:ascii="Calibri" w:hAnsi="Calibri"/>
        </w:rPr>
        <w:t xml:space="preserve">Dwan, K. et al. (2019). CONSORT 2010 statement: extension to randomised crossover trials. BMJ, 366, l4378. https://doi.org/10.1136/bmj.l4378</w:t>
      </w:r>
    </w:p>
    <w:p>
      <w:pPr>
        <w:pStyle w:val="ListText"/>
        <w:numPr>
          <w:ilvl w:val="0"/>
          <w:numId w:val="1"/>
        </w:numPr>
      </w:pPr>
      <w:r>
        <w:rPr>
          <w:rFonts w:ascii="Calibri" w:hAnsi="Calibri"/>
        </w:rPr>
        <w:t xml:space="preserve">Koedinger, K. R. et Aleven, V. (2007). Exploring the assistance dilemma in experiments with Cognitive Tutors. Educational Psychology Review, 19, 239-264.</w:t>
      </w:r>
    </w:p>
    <w:p>
      <w:pPr>
        <w:pStyle w:val="ListText"/>
        <w:numPr>
          <w:ilvl w:val="0"/>
          <w:numId w:val="1"/>
        </w:numPr>
      </w:pPr>
      <w:r>
        <w:rPr>
          <w:rFonts w:ascii="Calibri" w:hAnsi="Calibri"/>
        </w:rPr>
        <w:t xml:space="preserve">Pea, R. D. (2004). The social and technological dimensions of scaffolding and related theoretical concepts for learning, education, and human activity. Journal of the Learning Sciences, 13(3), 423-451.</w:t>
      </w:r>
    </w:p>
    <w:p>
      <w:pPr>
        <w:pStyle w:val="ListText"/>
        <w:numPr>
          <w:ilvl w:val="0"/>
          <w:numId w:val="1"/>
        </w:numPr>
      </w:pPr>
      <w:r>
        <w:rPr>
          <w:rFonts w:ascii="Calibri" w:hAnsi="Calibri"/>
        </w:rPr>
        <w:t xml:space="preserve">Wood, D., Bruner, J. S. et Ross, G. (1976). The role of tutoring in problem solving. Journal of Child Psychology and Psychiatry, 17(2), 89-100.</w:t>
      </w:r>
    </w:p>
    <w:p>
      <w:pPr>
        <w:pStyle w:val="ListText"/>
        <w:numPr>
          <w:ilvl w:val="0"/>
          <w:numId w:val="1"/>
        </w:numPr>
      </w:pPr>
      <w:r>
        <w:rPr>
          <w:rFonts w:ascii="Calibri" w:hAnsi="Calibri"/>
        </w:rPr>
        <w:t xml:space="preserve">CNIL. Recherche scientifique hors santé : enjeux et avantages de l'anonymisation et de la pseudonymisation. https://www.cnil.fr/fr/recherche-scientifique-hors-sante-enjeux-et-avantages-de-lanonymisation-et-de-la-pseudonymisation</w:t>
      </w:r>
    </w:p>
    <w:p>
      <w:pPr>
        <w:pStyle w:val="ListText"/>
        <w:numPr>
          <w:ilvl w:val="0"/>
          <w:numId w:val="1"/>
        </w:numPr>
      </w:pPr>
      <w:r>
        <w:rPr>
          <w:rFonts w:ascii="Calibri" w:hAnsi="Calibri"/>
        </w:rPr>
        <w:t xml:space="preserve">Google. Gemini API Additional Terms of Service, version effective le 23 mars 2026. https://ai.google.dev/gemini-api/terms</w:t>
      </w:r>
    </w:p>
    <w:p>
      <w:pPr>
        <w:pStyle w:val="ListText"/>
        <w:numPr>
          <w:ilvl w:val="0"/>
          <w:numId w:val="1"/>
        </w:numPr>
      </w:pPr>
      <w:r>
        <w:rPr>
          <w:rFonts w:ascii="Calibri" w:hAnsi="Calibri"/>
        </w:rPr>
        <w:t xml:space="preserve">Conseil scientifique de l'éducation nationale. Prix Chercheurs en Actes. https://www.csen.education.gouv.fr/candidatez-au-prix/</w:t>
      </w:r>
    </w:p>
    <w:p>
      <w:pPr>
        <w:pStyle w:val="Centered"/>
      </w:pPr>
      <w:r>
        <w:rPr>
          <w:rFonts w:ascii="Calibri" w:hAnsi="Calibri"/>
        </w:rPr>
        <w:t xml:space="preserve">Document préparé pour discussion avec le laboratoire CHArt, l'établissement porteur, les équipes participantes et les responsables de la protection des données.</w:t>
      </w:r>
    </w:p>
    <w:sectPr>
      <w:headerReference w:type="default" r:id="rId3"/>
      <w:footerReference w:type="default" r:id="rId4"/>
      <w:pgSz w:w="12240" w:h="15840"/>
      <w:pgMar w:top="1440" w:right="1440" w:bottom="1440" w:left="1440" w:header="708" w:footer="708" w:gutter="0"/>
      <w:cols w:space="708"/>
      <w:docGrid w:linePitch="360"/>
    </w:sectPr>
  </w:body>
</w:document>
</file>

<file path=word/footer1.xml><?xml version="1.0" encoding="utf-8"?>
<w:ftr xmlns:w="http://schemas.openxmlformats.org/wordprocessingml/2006/main">
  <w:p>
    <w:pPr>
      <w:jc w:val="right"/>
      <w:spacing w:after="0"/>
    </w:pPr>
    <w:r>
      <w:rPr>
        <w:rFonts w:ascii="Calibri" w:hAnsi="Calibri"/>
        <w:color w:val="5F6B76"/>
        <w:sz w:val="17"/>
      </w:rPr>
      <w:t xml:space="preserve">FANALIO - Protocole expérimental v2.1 | Page </w:t>
    </w:r>
    <w:fldSimple w:instr=" PAGE ">
      <w:r>
        <w:rPr>
          <w:sz w:val="17"/>
        </w:rPr>
        <w:t>1</w:t>
      </w:r>
    </w:fldSimple>
  </w:p>
</w:ftr>
</file>

<file path=word/header1.xml><?xml version="1.0" encoding="utf-8"?>
<w:hdr xmlns:w="http://schemas.openxmlformats.org/wordprocessingml/2006/main">
  <w:p>
    <w:pPr>
      <w:spacing w:after="0"/>
      <w:jc w:val="left"/>
    </w:pPr>
    <w:r>
      <w:rPr>
        <w:rFonts w:ascii="Calibri" w:hAnsi="Calibri"/>
        <w:color w:val="5F6B76"/>
        <w:sz w:val="17"/>
      </w:rPr>
      <w:t>FANALIO | Devoir Complice | Protocole expérimental v2.1</w:t>
    </w:r>
  </w:p>
</w:hdr>
</file>

<file path=word/numbering.xml><?xml version="1.0" encoding="utf-8"?>
<w:numbering xmlns:w="http://schemas.openxmlformats.org/wordprocessingml/2006/main">
  <w:abstractNum w:abstractNumId="1">
    <w:multiLevelType w:val="singleLevel"/>
    <w:lvl w:ilvl="0">
      <w:start w:val="1"/>
      <w:numFmt w:val="bullet"/>
      <w:lvlText w:val="•"/>
      <w:lvlJc w:val="left"/>
      <w:pPr>
        <w:tabs>
          <w:tab w:val="num" w:pos="260"/>
        </w:tabs>
        <w:ind w:left="540" w:hanging="280"/>
      </w:pPr>
      <w:rPr>
        <w:rFonts w:ascii="Calibri" w:hAnsi="Calibri"/>
      </w:rPr>
    </w:lvl>
  </w:abstractNum>
  <w:abstractNum w:abstractNumId="2">
    <w:multiLevelType w:val="singleLevel"/>
    <w:lvl w:ilvl="0">
      <w:start w:val="1"/>
      <w:numFmt w:val="decimal"/>
      <w:lvlText w:val="%1."/>
      <w:lvlJc w:val="left"/>
      <w:pPr>
        <w:tabs>
          <w:tab w:val="num" w:pos="260"/>
        </w:tabs>
        <w:ind w:left="540" w:hanging="280"/>
      </w:pPr>
    </w:lvl>
  </w:abstractNum>
  <w:num w:numId="1">
    <w:abstractNumId w:val="1"/>
  </w:num>
  <w:num w:numId="2">
    <w:abstractNumId w:val="2"/>
  </w:num>
  <w:num w:numId="3">
    <w:abstractNumId w:val="2"/>
    <w:lvlOverride w:ilvl="0">
      <w:startOverride w:val="1"/>
    </w:lvlOverride>
  </w:num>
</w:numbering>
</file>

<file path=word/styles.xml><?xml version="1.0" encoding="utf-8"?>
<w:styles xmlns:w="http://schemas.openxmlformats.org/wordprocessingml/2006/main">
  <w:docDefaults>
    <w:rPrDefault>
      <w:rPr>
        <w:rFonts w:ascii="Calibri" w:hAnsi="Calibri" w:eastAsia="Calibri"/>
        <w:sz w:val="22"/>
        <w:szCs w:val="22"/>
        <w:lang w:val="fr-FR"/>
      </w:rPr>
    </w:rPrDefault>
    <w:pPrDefault>
      <w:pPr>
        <w:spacing w:after="120" w:line="300" w:lineRule="auto"/>
        <w:jc w:val="both"/>
        <w:widowControl/>
      </w:pPr>
    </w:pPrDefault>
  </w:docDefaults>
  <w:style w:type="paragraph" w:default="1" w:styleId="Normal">
    <w:name w:val="Normal"/>
    <w:qFormat/>
    <w:pPr>
      <w:spacing w:before="0" w:after="120" w:line="300" w:lineRule="auto"/>
      <w:jc w:val="both"/>
      <w:widowControl/>
    </w:pPr>
    <w:rPr>
      <w:rFonts w:ascii="Calibri" w:hAnsi="Calibri"/>
      <w:sz w:val="22"/>
      <w:szCs w:val="22"/>
    </w:rPr>
  </w:style>
  <w:style w:type="paragraph" w:styleId="Heading1">
    <w:name w:val="heading 1"/>
    <w:basedOn w:val="Normal"/>
    <w:next w:val="Normal"/>
    <w:qFormat/>
    <w:pPr>
      <w:keepNext/>
      <w:keepLines/>
      <w:spacing w:before="320" w:after="160"/>
    </w:pPr>
    <w:rPr>
      <w:b/>
      <w:color w:val="2E74B5"/>
      <w:sz w:val="32"/>
      <w:szCs w:val="32"/>
    </w:rPr>
  </w:style>
  <w:style w:type="paragraph" w:styleId="Heading2">
    <w:name w:val="heading 2"/>
    <w:basedOn w:val="Normal"/>
    <w:next w:val="Normal"/>
    <w:qFormat/>
    <w:pPr>
      <w:keepNext/>
      <w:spacing w:before="240" w:after="120"/>
    </w:pPr>
    <w:rPr>
      <w:b/>
      <w:color w:val="2E74B5"/>
      <w:sz w:val="26"/>
      <w:szCs w:val="26"/>
    </w:rPr>
  </w:style>
  <w:style w:type="paragraph" w:styleId="Heading3">
    <w:name w:val="heading 3"/>
    <w:basedOn w:val="Normal"/>
    <w:next w:val="Normal"/>
    <w:qFormat/>
    <w:pPr>
      <w:keepNext/>
      <w:spacing w:before="160" w:after="80"/>
    </w:pPr>
    <w:rPr>
      <w:b/>
      <w:color w:val="1F4D78"/>
      <w:sz w:val="24"/>
      <w:szCs w:val="24"/>
    </w:rPr>
  </w:style>
  <w:style w:type="paragraph" w:styleId="CoverOrg">
    <w:name w:val="Cover Organization"/>
    <w:basedOn w:val="Normal"/>
    <w:pPr>
      <w:jc w:val="center"/>
      <w:spacing w:after="160"/>
    </w:pPr>
    <w:rPr>
      <w:b/>
      <w:color w:val="5F6B76"/>
      <w:sz w:val="24"/>
    </w:rPr>
  </w:style>
  <w:style w:type="paragraph" w:styleId="CoverTitle">
    <w:name w:val="Cover Title"/>
    <w:basedOn w:val="Normal"/>
    <w:pPr>
      <w:jc w:val="center"/>
      <w:spacing w:after="100"/>
    </w:pPr>
    <w:rPr>
      <w:b/>
      <w:color w:val="17314A"/>
      <w:sz w:val="50"/>
    </w:rPr>
  </w:style>
  <w:style w:type="paragraph" w:styleId="CoverTagline">
    <w:name w:val="Cover Tagline"/>
    <w:basedOn w:val="Normal"/>
    <w:pPr>
      <w:jc w:val="center"/>
      <w:spacing w:after="120"/>
    </w:pPr>
    <w:rPr>
      <w:b/>
      <w:color w:val="2E74B5"/>
      <w:sz w:val="36"/>
    </w:rPr>
  </w:style>
  <w:style w:type="paragraph" w:styleId="CoverSubtitle">
    <w:name w:val="Cover Subtitle"/>
    <w:basedOn w:val="Normal"/>
    <w:pPr>
      <w:jc w:val="center"/>
      <w:spacing w:after="440"/>
    </w:pPr>
    <w:rPr>
      <w:i/>
      <w:color w:val="5F6B76"/>
      <w:sz w:val="26"/>
    </w:rPr>
  </w:style>
  <w:style w:type="paragraph" w:styleId="Centered">
    <w:name w:val="Centered"/>
    <w:basedOn w:val="Normal"/>
    <w:pPr>
      <w:jc w:val="center"/>
    </w:pPr>
  </w:style>
  <w:style w:type="paragraph" w:styleId="Callout">
    <w:name w:val="Callout"/>
    <w:basedOn w:val="Normal"/>
    <w:pPr>
      <w:spacing w:before="160" w:after="200"/>
      <w:ind w:left="240" w:right="240"/>
      <w:shd w:val="clear" w:color="auto" w:fill="E2EDE9"/>
    </w:pPr>
    <w:rPr>
      <w:color w:val="17314A"/>
    </w:rPr>
  </w:style>
  <w:style w:type="paragraph" w:styleId="ListText">
    <w:name w:val="List Text"/>
    <w:basedOn w:val="Normal"/>
    <w:pPr>
      <w:spacing w:after="80" w:line="290" w:lineRule="auto"/>
    </w:pPr>
  </w:style>
  <w:style w:type="paragraph" w:styleId="TableText">
    <w:name w:val="Table Text"/>
    <w:basedOn w:val="Normal"/>
    <w:pPr>
      <w:spacing w:after="40" w:line="276" w:lineRule="auto"/>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eader" Target="header1.xml"/><Relationship Id="rId4"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AppVersion>16.0000</AppVersion>
  <Company>FANALIO</Company>
</Properties>
</file>

<file path=docProps/core.xml><?xml version="1.0" encoding="utf-8"?>
<cp:coreProperties xmlns:cp="http://schemas.openxmlformats.org/package/2006/metadata/core-properties" xmlns:dc="http://purl.org/dc/elements/1.1/" xmlns:dcterms="http://purl.org/dc/terms/" xmlns:xsi="http://www.w3.org/2001/XMLSchema-instance">
  <dc:title>Protocole expérimental FANALIO Devoir Complice v2.1</dc:title>
  <dc:subject>Étayer les devoirs sans les faire</dc:subject>
  <dc:creator>FANALIO - Roger Loaiza Soto</dc:creator>
  <cp:lastModifiedBy>FANALIO</cp:lastModifiedBy>
  <dcterms:created xsi:type="dcterms:W3CDTF">2026-09-13T00:00:00Z</dcterms:created>
  <dcterms:modified xsi:type="dcterms:W3CDTF">2026-09-13T00:00:00Z</dcterms:modified>
</cp:coreProperties>
</file>